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6D9C" w14:textId="77777777" w:rsidR="001073B5" w:rsidRPr="000B1EC7" w:rsidRDefault="001073B5" w:rsidP="001073B5">
      <w:pPr>
        <w:rPr>
          <w:rFonts w:ascii="Times New Roman" w:hAnsi="Times New Roman" w:cs="Times New Roman"/>
        </w:rPr>
      </w:pPr>
      <w:r w:rsidRPr="000B1EC7">
        <w:rPr>
          <w:rFonts w:ascii="Times New Roman" w:hAnsi="Times New Roman" w:cs="Times New Roman"/>
        </w:rPr>
        <w:t>ТЕХНИЧЕСКИЙ ПАСПОРТ и РУКОВОДСТВО ПО ЭКСПЛУАТАЦИИ</w:t>
      </w:r>
    </w:p>
    <w:p w14:paraId="73FAD289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НАЗНАЧЕНИЕ,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ОСНОВНЫЕ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СВЕДЕНИЯ,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ЭКСПЛУАТАЦИЯ</w:t>
      </w:r>
    </w:p>
    <w:p w14:paraId="786BBBF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Светодиодный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серии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FP-LED-600 (FP-LED-</w:t>
      </w:r>
      <w:proofErr w:type="gramStart"/>
      <w:r w:rsidRPr="000B1EC7">
        <w:rPr>
          <w:rFonts w:ascii="Times New Roman" w:hAnsi="Times New Roman" w:cs="Times New Roman"/>
          <w:sz w:val="16"/>
          <w:szCs w:val="16"/>
        </w:rPr>
        <w:t>1200)(</w:t>
      </w:r>
      <w:proofErr w:type="gramEnd"/>
      <w:r w:rsidRPr="000B1EC7">
        <w:rPr>
          <w:rFonts w:ascii="Times New Roman" w:hAnsi="Times New Roman" w:cs="Times New Roman"/>
          <w:sz w:val="16"/>
          <w:szCs w:val="16"/>
        </w:rPr>
        <w:t>FP-LED-1200) предназначен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для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внутреннего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освещения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не бытовых административно-общественных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помещений.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Могут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использоваться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офисных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зданиях,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B1EC7">
        <w:rPr>
          <w:rFonts w:ascii="Times New Roman" w:hAnsi="Times New Roman" w:cs="Times New Roman"/>
          <w:sz w:val="16"/>
          <w:szCs w:val="16"/>
        </w:rPr>
        <w:t>торго-вых</w:t>
      </w:r>
      <w:proofErr w:type="spellEnd"/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комплексах,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основных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вспомогательных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местах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общего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пользования: в коридорах, на лестничных пролетах, в столовых, 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конференц-залах,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ресторанах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т.д.</w:t>
      </w:r>
    </w:p>
    <w:p w14:paraId="5815F539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1.2 Светодиодный светильник серии FP-LED-600 (FP-LED-1200) (FP-LED-1200) устанавливается на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поверхности,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произведенной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из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любого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строительного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материала,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предусмотрен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монтаж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подвесах.</w:t>
      </w:r>
    </w:p>
    <w:p w14:paraId="5D6D8278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1.3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Светодиодный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серии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FP-LED-600 (FP-LED-1200) производится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исполнении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УХЛ4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ГОСТ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15150-69,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нижнее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температурное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значение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окружающей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среды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+5С,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верхнее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+45С.</w:t>
      </w:r>
    </w:p>
    <w:p w14:paraId="4D330B9C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1.4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Светодиодный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серии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FP-LED-600 (FP-LED-1200)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соответствует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степени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защиты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IP20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ГОСТ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14254-96.</w:t>
      </w:r>
    </w:p>
    <w:p w14:paraId="3A514D98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1.5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Светодиодный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серии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FP-LED-600 (FP-LED-1200</w:t>
      </w:r>
      <w:proofErr w:type="gramStart"/>
      <w:r w:rsidRPr="000B1EC7">
        <w:rPr>
          <w:rFonts w:ascii="Times New Roman" w:hAnsi="Times New Roman" w:cs="Times New Roman"/>
          <w:sz w:val="16"/>
          <w:szCs w:val="16"/>
        </w:rPr>
        <w:t>)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 xml:space="preserve"> соответствует</w:t>
      </w:r>
      <w:proofErr w:type="gramEnd"/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группе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механического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использования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М2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ГОСТ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17516.1-90.</w:t>
      </w:r>
    </w:p>
    <w:p w14:paraId="5C1A859A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1.6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Светодиодный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серии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FP-LED-600 (FP-LED-1200)</w:t>
      </w:r>
      <w:r w:rsidR="000B1EC7">
        <w:rPr>
          <w:rFonts w:ascii="Times New Roman" w:hAnsi="Times New Roman" w:cs="Times New Roman"/>
          <w:sz w:val="16"/>
          <w:szCs w:val="16"/>
        </w:rPr>
        <w:t xml:space="preserve">  </w:t>
      </w:r>
      <w:r w:rsidRPr="000B1EC7">
        <w:rPr>
          <w:rFonts w:ascii="Times New Roman" w:hAnsi="Times New Roman" w:cs="Times New Roman"/>
          <w:sz w:val="16"/>
          <w:szCs w:val="16"/>
        </w:rPr>
        <w:t xml:space="preserve"> рассчитан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для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работы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сети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переменного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тока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диапазоне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185–265В.</w:t>
      </w:r>
    </w:p>
    <w:p w14:paraId="0084466E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1.7 Светодиодный светильник серии FP-LED-600 (FP-LED-1200) 6500К/IP20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имеет класс защиты от поражения электрическим током I по ГОСТ Р МЭК 60598-1-2011.</w:t>
      </w:r>
    </w:p>
    <w:p w14:paraId="6D8EA97F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</w:p>
    <w:p w14:paraId="15096E8B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E27DD3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  <w:r w:rsidRPr="000B1EC7">
        <w:rPr>
          <w:rFonts w:ascii="Times New Roman" w:hAnsi="Times New Roman" w:cs="Times New Roman"/>
          <w:sz w:val="16"/>
          <w:szCs w:val="16"/>
        </w:rPr>
        <w:t>2.</w:t>
      </w:r>
      <w:r w:rsidR="000B1EC7" w:rsidRP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ТЕХНИЧЕСКИЕ</w:t>
      </w:r>
      <w:r w:rsidR="000B1EC7" w:rsidRP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ХАРАКТЕРИСТИКИ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0"/>
        <w:gridCol w:w="986"/>
        <w:gridCol w:w="1056"/>
      </w:tblGrid>
      <w:tr w:rsidR="001073B5" w:rsidRPr="000B1EC7" w14:paraId="354D871E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7D01CB62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857" w:type="dxa"/>
            <w:noWrap/>
            <w:hideMark/>
          </w:tcPr>
          <w:p w14:paraId="48E47699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  <w:r w:rsidRPr="000B1EC7"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  <w:t>FP-LED-600</w:t>
            </w:r>
          </w:p>
        </w:tc>
        <w:tc>
          <w:tcPr>
            <w:tcW w:w="851" w:type="dxa"/>
            <w:noWrap/>
            <w:hideMark/>
          </w:tcPr>
          <w:p w14:paraId="7FA6992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  <w:r w:rsidRPr="000B1EC7"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  <w:t xml:space="preserve">FP-LED-1200 </w:t>
            </w:r>
          </w:p>
        </w:tc>
      </w:tr>
      <w:tr w:rsidR="001073B5" w:rsidRPr="000B1EC7" w14:paraId="6CA1ED7A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7A4554C0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Исполнение</w:t>
            </w:r>
          </w:p>
        </w:tc>
        <w:tc>
          <w:tcPr>
            <w:tcW w:w="857" w:type="dxa"/>
            <w:noWrap/>
            <w:hideMark/>
          </w:tcPr>
          <w:p w14:paraId="50D13532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накладное</w:t>
            </w:r>
          </w:p>
        </w:tc>
        <w:tc>
          <w:tcPr>
            <w:tcW w:w="851" w:type="dxa"/>
            <w:noWrap/>
            <w:hideMark/>
          </w:tcPr>
          <w:p w14:paraId="04F2AB4A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накладное</w:t>
            </w:r>
          </w:p>
        </w:tc>
      </w:tr>
      <w:tr w:rsidR="001073B5" w:rsidRPr="000B1EC7" w14:paraId="49BC85FE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1B2058F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Источник света, светодиода LED </w:t>
            </w:r>
          </w:p>
        </w:tc>
        <w:tc>
          <w:tcPr>
            <w:tcW w:w="857" w:type="dxa"/>
            <w:noWrap/>
            <w:hideMark/>
          </w:tcPr>
          <w:p w14:paraId="4302722B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SMD2835</w:t>
            </w:r>
          </w:p>
        </w:tc>
        <w:tc>
          <w:tcPr>
            <w:tcW w:w="851" w:type="dxa"/>
            <w:noWrap/>
            <w:hideMark/>
          </w:tcPr>
          <w:p w14:paraId="4FE2C56B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SMD2835 </w:t>
            </w:r>
          </w:p>
        </w:tc>
      </w:tr>
      <w:tr w:rsidR="001073B5" w:rsidRPr="000B1EC7" w14:paraId="58CA4651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606D3F3B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Мощность, </w:t>
            </w:r>
          </w:p>
        </w:tc>
        <w:tc>
          <w:tcPr>
            <w:tcW w:w="857" w:type="dxa"/>
            <w:noWrap/>
            <w:hideMark/>
          </w:tcPr>
          <w:p w14:paraId="5A1FB218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18W</w:t>
            </w:r>
          </w:p>
        </w:tc>
        <w:tc>
          <w:tcPr>
            <w:tcW w:w="851" w:type="dxa"/>
            <w:noWrap/>
            <w:hideMark/>
          </w:tcPr>
          <w:p w14:paraId="0D001FA2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36W</w:t>
            </w:r>
          </w:p>
        </w:tc>
      </w:tr>
      <w:tr w:rsidR="001073B5" w:rsidRPr="000B1EC7" w14:paraId="4C02208E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62F881AB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Цветовая температура</w:t>
            </w:r>
          </w:p>
        </w:tc>
        <w:tc>
          <w:tcPr>
            <w:tcW w:w="857" w:type="dxa"/>
            <w:noWrap/>
            <w:hideMark/>
          </w:tcPr>
          <w:p w14:paraId="72935AB4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6000-6800K</w:t>
            </w:r>
          </w:p>
        </w:tc>
        <w:tc>
          <w:tcPr>
            <w:tcW w:w="851" w:type="dxa"/>
            <w:noWrap/>
            <w:hideMark/>
          </w:tcPr>
          <w:p w14:paraId="1A0BA693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6000-6800K</w:t>
            </w:r>
          </w:p>
        </w:tc>
      </w:tr>
      <w:tr w:rsidR="001073B5" w:rsidRPr="000B1EC7" w14:paraId="52B9EDFE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08A7C88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Световой поток, </w:t>
            </w: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Lm</w:t>
            </w:r>
            <w:proofErr w:type="spellEnd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 </w:t>
            </w:r>
          </w:p>
        </w:tc>
        <w:tc>
          <w:tcPr>
            <w:tcW w:w="857" w:type="dxa"/>
            <w:noWrap/>
            <w:hideMark/>
          </w:tcPr>
          <w:p w14:paraId="27C557F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1200LM</w:t>
            </w:r>
          </w:p>
        </w:tc>
        <w:tc>
          <w:tcPr>
            <w:tcW w:w="851" w:type="dxa"/>
            <w:noWrap/>
            <w:hideMark/>
          </w:tcPr>
          <w:p w14:paraId="58CD301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2400LM</w:t>
            </w:r>
          </w:p>
        </w:tc>
      </w:tr>
      <w:tr w:rsidR="001073B5" w:rsidRPr="000B1EC7" w14:paraId="5AB4DA0A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41EBFFBE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Количество светодиодов, шт.</w:t>
            </w:r>
          </w:p>
        </w:tc>
        <w:tc>
          <w:tcPr>
            <w:tcW w:w="857" w:type="dxa"/>
            <w:noWrap/>
            <w:hideMark/>
          </w:tcPr>
          <w:p w14:paraId="15BEE708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57B1CA90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200</w:t>
            </w:r>
          </w:p>
        </w:tc>
      </w:tr>
      <w:tr w:rsidR="001073B5" w:rsidRPr="000B1EC7" w14:paraId="1900FC3F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671DA8C4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Индекс цветопередачи</w:t>
            </w:r>
          </w:p>
        </w:tc>
        <w:tc>
          <w:tcPr>
            <w:tcW w:w="857" w:type="dxa"/>
            <w:noWrap/>
            <w:hideMark/>
          </w:tcPr>
          <w:p w14:paraId="77E0600F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Ra</w:t>
            </w:r>
            <w:proofErr w:type="spellEnd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 &gt;70 </w:t>
            </w:r>
          </w:p>
        </w:tc>
        <w:tc>
          <w:tcPr>
            <w:tcW w:w="851" w:type="dxa"/>
            <w:noWrap/>
            <w:hideMark/>
          </w:tcPr>
          <w:p w14:paraId="75D21F20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Ra</w:t>
            </w:r>
            <w:proofErr w:type="spellEnd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 &gt;70 </w:t>
            </w:r>
          </w:p>
        </w:tc>
      </w:tr>
      <w:tr w:rsidR="001073B5" w:rsidRPr="000B1EC7" w14:paraId="33246278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55D9CCD6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Угол освещения</w:t>
            </w:r>
          </w:p>
        </w:tc>
        <w:tc>
          <w:tcPr>
            <w:tcW w:w="857" w:type="dxa"/>
            <w:noWrap/>
            <w:hideMark/>
          </w:tcPr>
          <w:p w14:paraId="1F94005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0 &gt;120 </w:t>
            </w:r>
          </w:p>
        </w:tc>
        <w:tc>
          <w:tcPr>
            <w:tcW w:w="851" w:type="dxa"/>
            <w:noWrap/>
            <w:hideMark/>
          </w:tcPr>
          <w:p w14:paraId="0BDCDD59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0 &gt;120 </w:t>
            </w:r>
          </w:p>
        </w:tc>
      </w:tr>
      <w:tr w:rsidR="001073B5" w:rsidRPr="000B1EC7" w14:paraId="10FD06D1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15E265D8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Коэффициент мощности</w:t>
            </w:r>
          </w:p>
        </w:tc>
        <w:tc>
          <w:tcPr>
            <w:tcW w:w="857" w:type="dxa"/>
            <w:noWrap/>
            <w:hideMark/>
          </w:tcPr>
          <w:p w14:paraId="2969D78D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PF &gt;0,5</w:t>
            </w:r>
          </w:p>
        </w:tc>
        <w:tc>
          <w:tcPr>
            <w:tcW w:w="851" w:type="dxa"/>
            <w:noWrap/>
            <w:hideMark/>
          </w:tcPr>
          <w:p w14:paraId="5C7F0C05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PF &gt;0,5</w:t>
            </w:r>
          </w:p>
        </w:tc>
      </w:tr>
      <w:tr w:rsidR="001073B5" w:rsidRPr="000B1EC7" w14:paraId="7C901C5A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55FB4216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Коэффициент пульсации </w:t>
            </w:r>
          </w:p>
        </w:tc>
        <w:tc>
          <w:tcPr>
            <w:tcW w:w="857" w:type="dxa"/>
            <w:noWrap/>
            <w:hideMark/>
          </w:tcPr>
          <w:p w14:paraId="23232EBE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&lt;1%</w:t>
            </w:r>
          </w:p>
        </w:tc>
        <w:tc>
          <w:tcPr>
            <w:tcW w:w="851" w:type="dxa"/>
            <w:noWrap/>
            <w:hideMark/>
          </w:tcPr>
          <w:p w14:paraId="17C5065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&lt;1%</w:t>
            </w:r>
          </w:p>
        </w:tc>
      </w:tr>
      <w:tr w:rsidR="001073B5" w:rsidRPr="000B1EC7" w14:paraId="052EFCD4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3F9C9B1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Степень защиты </w:t>
            </w:r>
          </w:p>
        </w:tc>
        <w:tc>
          <w:tcPr>
            <w:tcW w:w="857" w:type="dxa"/>
            <w:noWrap/>
            <w:hideMark/>
          </w:tcPr>
          <w:p w14:paraId="75F76918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IP20</w:t>
            </w:r>
          </w:p>
        </w:tc>
        <w:tc>
          <w:tcPr>
            <w:tcW w:w="851" w:type="dxa"/>
            <w:noWrap/>
            <w:hideMark/>
          </w:tcPr>
          <w:p w14:paraId="2F87BB73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IP20</w:t>
            </w:r>
          </w:p>
        </w:tc>
      </w:tr>
      <w:tr w:rsidR="001073B5" w:rsidRPr="000B1EC7" w14:paraId="47FE072F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76A60084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Класс защиты от поражения электрическим током </w:t>
            </w:r>
          </w:p>
        </w:tc>
        <w:tc>
          <w:tcPr>
            <w:tcW w:w="857" w:type="dxa"/>
            <w:noWrap/>
            <w:hideMark/>
          </w:tcPr>
          <w:p w14:paraId="596ECE4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I</w:t>
            </w:r>
          </w:p>
        </w:tc>
        <w:tc>
          <w:tcPr>
            <w:tcW w:w="851" w:type="dxa"/>
            <w:noWrap/>
            <w:hideMark/>
          </w:tcPr>
          <w:p w14:paraId="0AED2DAD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I</w:t>
            </w:r>
          </w:p>
        </w:tc>
      </w:tr>
      <w:tr w:rsidR="001073B5" w:rsidRPr="000B1EC7" w14:paraId="7C1EA376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77667EE5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Климатическое исполнение </w:t>
            </w:r>
          </w:p>
        </w:tc>
        <w:tc>
          <w:tcPr>
            <w:tcW w:w="857" w:type="dxa"/>
            <w:noWrap/>
            <w:hideMark/>
          </w:tcPr>
          <w:p w14:paraId="321F1BD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УХЛ4</w:t>
            </w:r>
          </w:p>
        </w:tc>
        <w:tc>
          <w:tcPr>
            <w:tcW w:w="851" w:type="dxa"/>
            <w:noWrap/>
            <w:hideMark/>
          </w:tcPr>
          <w:p w14:paraId="6E7AE7E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УХЛ4</w:t>
            </w:r>
          </w:p>
        </w:tc>
      </w:tr>
      <w:tr w:rsidR="001073B5" w:rsidRPr="000B1EC7" w14:paraId="5ACB3A54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3E71E878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Диапазон рабочих температур</w:t>
            </w:r>
          </w:p>
        </w:tc>
        <w:tc>
          <w:tcPr>
            <w:tcW w:w="857" w:type="dxa"/>
            <w:noWrap/>
            <w:hideMark/>
          </w:tcPr>
          <w:p w14:paraId="32F00E26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‘+5 ℃-+ 45℃</w:t>
            </w:r>
          </w:p>
        </w:tc>
        <w:tc>
          <w:tcPr>
            <w:tcW w:w="851" w:type="dxa"/>
            <w:noWrap/>
            <w:hideMark/>
          </w:tcPr>
          <w:p w14:paraId="3E5B976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‘+5 ℃-+45℃</w:t>
            </w:r>
          </w:p>
        </w:tc>
      </w:tr>
      <w:tr w:rsidR="001073B5" w:rsidRPr="000B1EC7" w14:paraId="6751F893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41899D67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Материал корпуса </w:t>
            </w:r>
          </w:p>
        </w:tc>
        <w:tc>
          <w:tcPr>
            <w:tcW w:w="857" w:type="dxa"/>
            <w:noWrap/>
            <w:hideMark/>
          </w:tcPr>
          <w:p w14:paraId="5768600B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Aluminuim</w:t>
            </w:r>
            <w:proofErr w:type="spellEnd"/>
          </w:p>
        </w:tc>
        <w:tc>
          <w:tcPr>
            <w:tcW w:w="851" w:type="dxa"/>
            <w:noWrap/>
            <w:hideMark/>
          </w:tcPr>
          <w:p w14:paraId="5A3967DA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Aluminuim</w:t>
            </w:r>
            <w:proofErr w:type="spellEnd"/>
          </w:p>
        </w:tc>
      </w:tr>
      <w:tr w:rsidR="001073B5" w:rsidRPr="000B1EC7" w14:paraId="430CCD1C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4EBA0C33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Материал плафона </w:t>
            </w:r>
          </w:p>
        </w:tc>
        <w:tc>
          <w:tcPr>
            <w:tcW w:w="857" w:type="dxa"/>
            <w:noWrap/>
            <w:hideMark/>
          </w:tcPr>
          <w:p w14:paraId="5272D07A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PC </w:t>
            </w: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Opal</w:t>
            </w:r>
            <w:proofErr w:type="spellEnd"/>
          </w:p>
        </w:tc>
        <w:tc>
          <w:tcPr>
            <w:tcW w:w="851" w:type="dxa"/>
            <w:noWrap/>
            <w:hideMark/>
          </w:tcPr>
          <w:p w14:paraId="19B4AAE5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PC </w:t>
            </w:r>
            <w:proofErr w:type="spellStart"/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Opal</w:t>
            </w:r>
            <w:proofErr w:type="spellEnd"/>
          </w:p>
        </w:tc>
      </w:tr>
      <w:tr w:rsidR="001073B5" w:rsidRPr="000B1EC7" w14:paraId="6E99A709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5D2594AB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Класс энергоэффективности</w:t>
            </w:r>
            <w:r w:rsidR="000B1EC7">
              <w:rPr>
                <w:rFonts w:ascii="Times New Roman" w:hAnsi="Times New Roman" w:cs="Times New Roman"/>
                <w:sz w:val="14"/>
                <w:szCs w:val="11"/>
              </w:rPr>
              <w:t xml:space="preserve"> </w:t>
            </w:r>
          </w:p>
        </w:tc>
        <w:tc>
          <w:tcPr>
            <w:tcW w:w="857" w:type="dxa"/>
            <w:noWrap/>
            <w:hideMark/>
          </w:tcPr>
          <w:p w14:paraId="05C55ABD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А +</w:t>
            </w:r>
          </w:p>
        </w:tc>
        <w:tc>
          <w:tcPr>
            <w:tcW w:w="851" w:type="dxa"/>
            <w:noWrap/>
            <w:hideMark/>
          </w:tcPr>
          <w:p w14:paraId="7F36A660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А +</w:t>
            </w:r>
          </w:p>
        </w:tc>
      </w:tr>
      <w:tr w:rsidR="001073B5" w:rsidRPr="000B1EC7" w14:paraId="47EEEAAC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17A9EF58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Входное напряжение</w:t>
            </w:r>
          </w:p>
        </w:tc>
        <w:tc>
          <w:tcPr>
            <w:tcW w:w="857" w:type="dxa"/>
            <w:noWrap/>
            <w:hideMark/>
          </w:tcPr>
          <w:p w14:paraId="6D4FCC2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185-265V</w:t>
            </w:r>
          </w:p>
        </w:tc>
        <w:tc>
          <w:tcPr>
            <w:tcW w:w="851" w:type="dxa"/>
            <w:noWrap/>
            <w:hideMark/>
          </w:tcPr>
          <w:p w14:paraId="29589F95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185-265V</w:t>
            </w:r>
          </w:p>
        </w:tc>
      </w:tr>
      <w:tr w:rsidR="001073B5" w:rsidRPr="000B1EC7" w14:paraId="2B94262C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33ADB6A1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Габаритные размеры L*B*H мм</w:t>
            </w:r>
          </w:p>
        </w:tc>
        <w:tc>
          <w:tcPr>
            <w:tcW w:w="857" w:type="dxa"/>
            <w:noWrap/>
            <w:hideMark/>
          </w:tcPr>
          <w:p w14:paraId="2A4418C7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600*79*23</w:t>
            </w:r>
          </w:p>
        </w:tc>
        <w:tc>
          <w:tcPr>
            <w:tcW w:w="851" w:type="dxa"/>
            <w:noWrap/>
            <w:hideMark/>
          </w:tcPr>
          <w:p w14:paraId="11775F6A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1200*79*23 </w:t>
            </w:r>
          </w:p>
        </w:tc>
      </w:tr>
      <w:tr w:rsidR="001073B5" w:rsidRPr="000B1EC7" w14:paraId="16610940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6D893674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Транспортная упаковка (размер)</w:t>
            </w:r>
          </w:p>
        </w:tc>
        <w:tc>
          <w:tcPr>
            <w:tcW w:w="857" w:type="dxa"/>
            <w:noWrap/>
            <w:hideMark/>
          </w:tcPr>
          <w:p w14:paraId="43FB037D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61.5*26*17.5</w:t>
            </w:r>
          </w:p>
        </w:tc>
        <w:tc>
          <w:tcPr>
            <w:tcW w:w="851" w:type="dxa"/>
            <w:noWrap/>
            <w:hideMark/>
          </w:tcPr>
          <w:p w14:paraId="0FC1BC49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121.5*26*17.5</w:t>
            </w:r>
          </w:p>
        </w:tc>
      </w:tr>
      <w:tr w:rsidR="001073B5" w:rsidRPr="000B1EC7" w14:paraId="07235A3D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23AC8FBA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Масса светильника, кг </w:t>
            </w:r>
          </w:p>
        </w:tc>
        <w:tc>
          <w:tcPr>
            <w:tcW w:w="857" w:type="dxa"/>
            <w:noWrap/>
            <w:hideMark/>
          </w:tcPr>
          <w:p w14:paraId="2E12A43E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0.23кг</w:t>
            </w:r>
          </w:p>
        </w:tc>
        <w:tc>
          <w:tcPr>
            <w:tcW w:w="851" w:type="dxa"/>
            <w:noWrap/>
            <w:hideMark/>
          </w:tcPr>
          <w:p w14:paraId="1C33B7EA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0.43кг</w:t>
            </w:r>
          </w:p>
        </w:tc>
      </w:tr>
      <w:tr w:rsidR="001073B5" w:rsidRPr="000B1EC7" w14:paraId="2E781D68" w14:textId="77777777" w:rsidTr="004B7C3E">
        <w:trPr>
          <w:trHeight w:val="210"/>
        </w:trPr>
        <w:tc>
          <w:tcPr>
            <w:tcW w:w="2120" w:type="dxa"/>
            <w:noWrap/>
            <w:hideMark/>
          </w:tcPr>
          <w:p w14:paraId="72497B8C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 xml:space="preserve">Гарантия </w:t>
            </w:r>
          </w:p>
        </w:tc>
        <w:tc>
          <w:tcPr>
            <w:tcW w:w="857" w:type="dxa"/>
            <w:noWrap/>
            <w:hideMark/>
          </w:tcPr>
          <w:p w14:paraId="08159C34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2 года</w:t>
            </w:r>
          </w:p>
        </w:tc>
        <w:tc>
          <w:tcPr>
            <w:tcW w:w="851" w:type="dxa"/>
            <w:noWrap/>
            <w:hideMark/>
          </w:tcPr>
          <w:p w14:paraId="4016318F" w14:textId="77777777" w:rsidR="001073B5" w:rsidRPr="000B1EC7" w:rsidRDefault="001073B5" w:rsidP="004B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1"/>
              </w:rPr>
            </w:pPr>
            <w:r w:rsidRPr="000B1EC7">
              <w:rPr>
                <w:rFonts w:ascii="Times New Roman" w:hAnsi="Times New Roman" w:cs="Times New Roman"/>
                <w:sz w:val="14"/>
                <w:szCs w:val="11"/>
              </w:rPr>
              <w:t>2 года</w:t>
            </w:r>
          </w:p>
        </w:tc>
      </w:tr>
    </w:tbl>
    <w:p w14:paraId="510CEC2E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7CD92E6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Технические характеристики определенной модели изделия указаны на упаковке. Фирма производитель</w:t>
      </w:r>
    </w:p>
    <w:p w14:paraId="24897ADE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оставляет за собой право на внесение изменений в конструкцию, дизайн и комплектацию изделия</w:t>
      </w:r>
    </w:p>
    <w:p w14:paraId="493B4D1F" w14:textId="77777777" w:rsidR="001073B5" w:rsidRPr="000B1EC7" w:rsidRDefault="001073B5" w:rsidP="001073B5">
      <w:pPr>
        <w:rPr>
          <w:rFonts w:ascii="Times New Roman" w:hAnsi="Times New Roman" w:cs="Times New Roman"/>
          <w:sz w:val="10"/>
          <w:szCs w:val="10"/>
        </w:rPr>
      </w:pPr>
      <w:r w:rsidRPr="000B1EC7">
        <w:rPr>
          <w:rFonts w:ascii="Times New Roman" w:hAnsi="Times New Roman" w:cs="Times New Roman"/>
          <w:sz w:val="16"/>
          <w:szCs w:val="16"/>
        </w:rPr>
        <w:t>без предварительного уведомления</w:t>
      </w:r>
      <w:r w:rsidRPr="000B1EC7">
        <w:rPr>
          <w:rFonts w:ascii="Times New Roman" w:hAnsi="Times New Roman" w:cs="Times New Roman"/>
          <w:sz w:val="10"/>
          <w:szCs w:val="10"/>
        </w:rPr>
        <w:t>.</w:t>
      </w:r>
    </w:p>
    <w:p w14:paraId="030A7A21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43FBEBA0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328B3657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21B07096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08DC0130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7B2647FB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06A45535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696590D1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78719576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387FD384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1AE24E57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76E41BD8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280D2F2C" w14:textId="77777777" w:rsidR="001073B5" w:rsidRPr="000B1EC7" w:rsidRDefault="001073B5" w:rsidP="001073B5">
      <w:pPr>
        <w:spacing w:after="100" w:line="240" w:lineRule="auto"/>
        <w:rPr>
          <w:rFonts w:ascii="Times New Roman" w:hAnsi="Times New Roman" w:cs="Times New Roman"/>
          <w:sz w:val="12"/>
          <w:szCs w:val="12"/>
        </w:rPr>
      </w:pPr>
    </w:p>
    <w:p w14:paraId="1CD76EA6" w14:textId="77777777" w:rsidR="001073B5" w:rsidRPr="000B1EC7" w:rsidRDefault="001073B5" w:rsidP="001073B5">
      <w:pPr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3.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ГАБАРИТНЫЕ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РАЗМЕРЫ см. в таблице п.2</w:t>
      </w:r>
    </w:p>
    <w:p w14:paraId="0FBC8A9C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4.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КОМПЛЕКТНОСТЬ</w:t>
      </w:r>
    </w:p>
    <w:p w14:paraId="4F1E2DE8" w14:textId="77777777" w:rsidR="001073B5" w:rsidRPr="00D4327E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D4327E">
        <w:rPr>
          <w:rFonts w:ascii="Times New Roman" w:hAnsi="Times New Roman" w:cs="Times New Roman"/>
          <w:sz w:val="16"/>
          <w:szCs w:val="16"/>
          <w:lang w:val="en-US"/>
        </w:rPr>
        <w:t>4.1</w:t>
      </w:r>
      <w:r w:rsidR="000B1EC7" w:rsidRPr="00D4327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 w:rsidRPr="00D4327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  <w:lang w:val="en-US"/>
        </w:rPr>
        <w:t>FP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0B1EC7">
        <w:rPr>
          <w:rFonts w:ascii="Times New Roman" w:hAnsi="Times New Roman" w:cs="Times New Roman"/>
          <w:sz w:val="16"/>
          <w:szCs w:val="16"/>
          <w:lang w:val="en-US"/>
        </w:rPr>
        <w:t>LED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-600 (</w:t>
      </w:r>
      <w:r w:rsidRPr="000B1EC7">
        <w:rPr>
          <w:rFonts w:ascii="Times New Roman" w:hAnsi="Times New Roman" w:cs="Times New Roman"/>
          <w:sz w:val="16"/>
          <w:szCs w:val="16"/>
          <w:lang w:val="en-US"/>
        </w:rPr>
        <w:t>FP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0B1EC7">
        <w:rPr>
          <w:rFonts w:ascii="Times New Roman" w:hAnsi="Times New Roman" w:cs="Times New Roman"/>
          <w:sz w:val="16"/>
          <w:szCs w:val="16"/>
          <w:lang w:val="en-US"/>
        </w:rPr>
        <w:t>LED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-1200) (</w:t>
      </w:r>
      <w:r w:rsidRPr="000B1EC7">
        <w:rPr>
          <w:rFonts w:ascii="Times New Roman" w:hAnsi="Times New Roman" w:cs="Times New Roman"/>
          <w:sz w:val="16"/>
          <w:szCs w:val="16"/>
          <w:lang w:val="en-US"/>
        </w:rPr>
        <w:t>FP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0B1EC7">
        <w:rPr>
          <w:rFonts w:ascii="Times New Roman" w:hAnsi="Times New Roman" w:cs="Times New Roman"/>
          <w:sz w:val="16"/>
          <w:szCs w:val="16"/>
          <w:lang w:val="en-US"/>
        </w:rPr>
        <w:t>LED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-1200</w:t>
      </w:r>
      <w:proofErr w:type="gramStart"/>
      <w:r w:rsidRPr="00D4327E">
        <w:rPr>
          <w:rFonts w:ascii="Times New Roman" w:hAnsi="Times New Roman" w:cs="Times New Roman"/>
          <w:sz w:val="16"/>
          <w:szCs w:val="16"/>
          <w:lang w:val="en-US"/>
        </w:rPr>
        <w:t>)</w:t>
      </w:r>
      <w:r w:rsidR="000B1EC7" w:rsidRPr="00D4327E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–</w:t>
      </w:r>
      <w:proofErr w:type="gramEnd"/>
      <w:r w:rsidR="000B1EC7" w:rsidRPr="00D4327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D4327E">
        <w:rPr>
          <w:rFonts w:ascii="Times New Roman" w:hAnsi="Times New Roman" w:cs="Times New Roman"/>
          <w:sz w:val="16"/>
          <w:szCs w:val="16"/>
          <w:lang w:val="en-US"/>
        </w:rPr>
        <w:t>1</w:t>
      </w:r>
      <w:r w:rsidR="000B1EC7" w:rsidRPr="00D4327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B1EC7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4327E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53D3EFB4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4.2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Монтажный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комплект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(скобы-2,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саморезы-2)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–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шт.</w:t>
      </w:r>
    </w:p>
    <w:p w14:paraId="049F9EBE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4.3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Технический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паспорт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руководство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эксплуатации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–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шт.</w:t>
      </w:r>
    </w:p>
    <w:p w14:paraId="7A998409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4.4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Упаковочная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коробка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–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шт.</w:t>
      </w:r>
    </w:p>
    <w:p w14:paraId="6E6B432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FB3E8E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5.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ТРЕБОВАНИЯ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ТЕХНИКЕ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БЕЗОПАСНОСТИ5</w:t>
      </w:r>
    </w:p>
    <w:p w14:paraId="789B80E9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5.1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Монтаж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обслуживание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должны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производиться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квалифицированными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специалистами.</w:t>
      </w:r>
    </w:p>
    <w:p w14:paraId="00AD54BF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5.2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Использовать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допускается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только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указанных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диапазонах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напряжения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сети.</w:t>
      </w:r>
    </w:p>
    <w:p w14:paraId="1498DEA8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5.3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Подключение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электрической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сети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необходимо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выполнять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монтажным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кабелем,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сечением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проводов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менее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0,5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мм2.</w:t>
      </w:r>
    </w:p>
    <w:p w14:paraId="47A2A082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5.4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ЗАПРЕЩАЕТСЯ:</w:t>
      </w:r>
    </w:p>
    <w:p w14:paraId="44F47986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• Использовать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без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заземления;</w:t>
      </w:r>
    </w:p>
    <w:p w14:paraId="71E6E730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• Проводить техническое обслуживание светильника, находящегося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под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напряжением;</w:t>
      </w:r>
    </w:p>
    <w:p w14:paraId="424010A7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• Эксплуатировать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поврежденной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изоляцией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проводов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местах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электрических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соединений.</w:t>
      </w:r>
    </w:p>
    <w:p w14:paraId="2ECBA605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ACCF0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6.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МОНТАЖ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 xml:space="preserve">СВЕТИЛЬНИКА </w:t>
      </w:r>
    </w:p>
    <w:p w14:paraId="618E3440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6.1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Освободить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упаковки.</w:t>
      </w:r>
    </w:p>
    <w:p w14:paraId="277761C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6.2 Закрепить светильник на опорную поверхность при помощи скоб.</w:t>
      </w:r>
    </w:p>
    <w:p w14:paraId="29EDEF2C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6.3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Присоединить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провода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питания,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заземляющий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провод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соответствующим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зажимам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клеммной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колодки.</w:t>
      </w:r>
    </w:p>
    <w:p w14:paraId="27FD3E75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6.4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готов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3951CF5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7.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ПРАВИЛА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ТРАНСПОРТИРОВКИ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ХРАНЕНИЯ</w:t>
      </w:r>
    </w:p>
    <w:p w14:paraId="128B34D7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7.1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Транспортировка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хранение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осуществляется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ГОСТ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23216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ГОСТ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15150.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Транспортировка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допускается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любым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видом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крытого транспорта, обеспечивающим предохранение упакованной продукции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от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механических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повреждений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ударных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нагрузок.</w:t>
      </w:r>
    </w:p>
    <w:p w14:paraId="0176CA7D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7.2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Светильник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должен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храниться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сухих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помещениях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температуре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воздуха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+5...+45 С.</w:t>
      </w:r>
    </w:p>
    <w:p w14:paraId="4542E198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4"/>
          <w:szCs w:val="14"/>
        </w:rPr>
      </w:pPr>
      <w:r w:rsidRPr="000B1EC7">
        <w:rPr>
          <w:rFonts w:ascii="Times New Roman" w:hAnsi="Times New Roman" w:cs="Times New Roman"/>
          <w:i/>
          <w:sz w:val="14"/>
          <w:szCs w:val="14"/>
        </w:rPr>
        <w:t>Дата</w:t>
      </w:r>
      <w:r w:rsidR="000B1EC7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0B1EC7">
        <w:rPr>
          <w:rFonts w:ascii="Times New Roman" w:hAnsi="Times New Roman" w:cs="Times New Roman"/>
          <w:i/>
          <w:sz w:val="14"/>
          <w:szCs w:val="14"/>
        </w:rPr>
        <w:t>продажи Должность Расшифровка</w:t>
      </w:r>
      <w:r w:rsidR="000B1EC7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0B1EC7">
        <w:rPr>
          <w:rFonts w:ascii="Times New Roman" w:hAnsi="Times New Roman" w:cs="Times New Roman"/>
          <w:i/>
          <w:sz w:val="14"/>
          <w:szCs w:val="14"/>
        </w:rPr>
        <w:t>подписи Личная</w:t>
      </w:r>
      <w:r w:rsidR="000B1EC7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0B1EC7">
        <w:rPr>
          <w:rFonts w:ascii="Times New Roman" w:hAnsi="Times New Roman" w:cs="Times New Roman"/>
          <w:i/>
          <w:sz w:val="14"/>
          <w:szCs w:val="14"/>
        </w:rPr>
        <w:t>подпись МП</w:t>
      </w:r>
    </w:p>
    <w:p w14:paraId="31D5694D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356F2F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8.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УТИЛИЗАЦИЯ</w:t>
      </w:r>
    </w:p>
    <w:p w14:paraId="13F75178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8.1 Светильник не содержит дорогостоящих или токсичных материалов, требующих специальной утилизации. Утилизацию проводят обычным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способом.</w:t>
      </w:r>
    </w:p>
    <w:p w14:paraId="11FD1195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98425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9.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ГАРАНТИЙНЫЕ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ОБЯЗАТЕЛЬСТВА</w:t>
      </w:r>
    </w:p>
    <w:p w14:paraId="5034F850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9.1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Гарантийный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срок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службы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2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года,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соблюдении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правил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эксплуатации,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указанных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пунктах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1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7.</w:t>
      </w:r>
    </w:p>
    <w:p w14:paraId="1B26FB91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9.2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неправильную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транспортировку,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хранение,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монтаж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эксплуатацию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изделия,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изготовитель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ответственности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несет.</w:t>
      </w:r>
    </w:p>
    <w:p w14:paraId="418DAFBC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1EC7">
        <w:rPr>
          <w:rFonts w:ascii="Times New Roman" w:hAnsi="Times New Roman" w:cs="Times New Roman"/>
          <w:sz w:val="16"/>
          <w:szCs w:val="16"/>
        </w:rPr>
        <w:t>9.3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ВНИМАНИЕ!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Изделие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снимается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гарантии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в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случае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нарушения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правил монтажа и эксплуатации. А также при наличии явных признаков недопустимых воздействий на светильник (механические повреждения,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следы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залива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жидкостями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и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т.</w:t>
      </w:r>
      <w:r w:rsidR="000B1EC7">
        <w:rPr>
          <w:rFonts w:ascii="Times New Roman" w:hAnsi="Times New Roman" w:cs="Times New Roman"/>
          <w:sz w:val="16"/>
          <w:szCs w:val="16"/>
        </w:rPr>
        <w:t xml:space="preserve"> </w:t>
      </w:r>
      <w:r w:rsidRPr="000B1EC7">
        <w:rPr>
          <w:rFonts w:ascii="Times New Roman" w:hAnsi="Times New Roman" w:cs="Times New Roman"/>
          <w:sz w:val="16"/>
          <w:szCs w:val="16"/>
        </w:rPr>
        <w:t>п.).</w:t>
      </w:r>
    </w:p>
    <w:p w14:paraId="739B92C4" w14:textId="77777777" w:rsidR="001073B5" w:rsidRPr="000B1EC7" w:rsidRDefault="001073B5" w:rsidP="00107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B850CC" w14:textId="77777777" w:rsidR="00CB53B1" w:rsidRPr="000B1EC7" w:rsidRDefault="00CB53B1">
      <w:pPr>
        <w:rPr>
          <w:rFonts w:ascii="Times New Roman" w:hAnsi="Times New Roman" w:cs="Times New Roman"/>
        </w:rPr>
      </w:pPr>
    </w:p>
    <w:sectPr w:rsidR="00CB53B1" w:rsidRPr="000B1EC7" w:rsidSect="001073B5">
      <w:pgSz w:w="11906" w:h="16838"/>
      <w:pgMar w:top="709" w:right="850" w:bottom="113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B5"/>
    <w:rsid w:val="000B1EC7"/>
    <w:rsid w:val="001073B5"/>
    <w:rsid w:val="0097285F"/>
    <w:rsid w:val="00BB1C32"/>
    <w:rsid w:val="00CB53B1"/>
    <w:rsid w:val="00D4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5F0D"/>
  <w15:docId w15:val="{94F18FB7-1FCB-4E13-8A01-587B2E94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 Гусев</cp:lastModifiedBy>
  <cp:revision>2</cp:revision>
  <dcterms:created xsi:type="dcterms:W3CDTF">2026-05-19T09:13:00Z</dcterms:created>
  <dcterms:modified xsi:type="dcterms:W3CDTF">2026-05-19T09:13:00Z</dcterms:modified>
</cp:coreProperties>
</file>