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D572EF" w:rsidRDefault="00EA71A9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6341B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:rsidTr="0009240E">
        <w:trPr>
          <w:trHeight w:val="1134"/>
        </w:trPr>
        <w:tc>
          <w:tcPr>
            <w:tcW w:w="851" w:type="dxa"/>
          </w:tcPr>
          <w:p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F64CD" w:rsidRPr="00D572EF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0F64CD" w:rsidRPr="00D572EF" w:rsidRDefault="00EA71A9" w:rsidP="00EA71A9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содержании улично-дорожной сети </w:t>
                  </w:r>
                </w:p>
              </w:tc>
            </w:tr>
            <w:tr w:rsidR="000F64CD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EA71A9" w:rsidRPr="00EA71A9" w:rsidRDefault="00EA71A9" w:rsidP="00EA71A9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r w:rsidRPr="00EA71A9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 w:rsidRPr="00EA71A9">
                    <w:rPr>
                      <w:b/>
                      <w:i/>
                      <w:sz w:val="28"/>
                      <w:szCs w:val="28"/>
                      <w:lang w:val="be-BY"/>
                    </w:rPr>
                    <w:t>Белоус Максим Евгеньевич</w:t>
                  </w:r>
                  <w:r w:rsidRPr="00EA71A9">
                    <w:rPr>
                      <w:i/>
                      <w:sz w:val="28"/>
                      <w:szCs w:val="28"/>
                    </w:rPr>
                    <w:t>,</w:t>
                  </w:r>
                </w:p>
                <w:p w:rsidR="000F64CD" w:rsidRPr="00D572EF" w:rsidRDefault="00EA71A9" w:rsidP="00EA71A9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EA71A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генеральный директор ГПО «</w:t>
                  </w:r>
                  <w:proofErr w:type="spellStart"/>
                  <w:r w:rsidRPr="00EA71A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Горремавтодор</w:t>
                  </w:r>
                  <w:proofErr w:type="spellEnd"/>
                  <w:r w:rsidRPr="00EA71A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Мингорисполкома»</w:t>
                  </w:r>
                  <w:r w:rsidR="000F64CD" w:rsidRPr="00D332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F64CD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:rsidR="000F64CD" w:rsidRPr="00D572EF" w:rsidRDefault="000F64CD" w:rsidP="000F64CD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:rsidTr="0009240E">
        <w:trPr>
          <w:trHeight w:val="1134"/>
        </w:trPr>
        <w:tc>
          <w:tcPr>
            <w:tcW w:w="851" w:type="dxa"/>
          </w:tcPr>
          <w:p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7D71A5" w:rsidRPr="00D572EF" w:rsidRDefault="000F64CD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9A5C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работе предприятия в 2025 году и задачах на 2026 год</w:t>
                  </w:r>
                  <w:r w:rsidR="003D6B44" w:rsidRPr="000C26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D71A5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4F2231" w:rsidRPr="000C2608" w:rsidRDefault="004F2231" w:rsidP="004F2231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7C2497">
                    <w:rPr>
                      <w:b/>
                      <w:i/>
                      <w:sz w:val="28"/>
                      <w:szCs w:val="28"/>
                    </w:rPr>
                    <w:t>Некрашевич Сергей Иванович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4F2231" w:rsidRDefault="007C2497" w:rsidP="004F2231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генеральный </w:t>
                  </w:r>
                  <w:r w:rsidR="000F64C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</w:t>
                  </w:r>
                  <w:r w:rsidR="009A5CD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Минский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парниково-тепличный комбина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</w:t>
                  </w:r>
                  <w:r w:rsidR="000F64C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  <w:p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:rsidTr="0009240E">
        <w:tc>
          <w:tcPr>
            <w:tcW w:w="851" w:type="dxa"/>
          </w:tcPr>
          <w:p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:rsidTr="0009240E">
        <w:tc>
          <w:tcPr>
            <w:tcW w:w="851" w:type="dxa"/>
          </w:tcPr>
          <w:p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1E52CB" w:rsidRPr="00D572EF" w:rsidRDefault="001E52CB" w:rsidP="00301899">
      <w:pPr>
        <w:widowControl w:val="0"/>
      </w:pPr>
    </w:p>
    <w:p w:rsidR="00301899" w:rsidRPr="00D572EF" w:rsidRDefault="00301899" w:rsidP="00301899">
      <w:pPr>
        <w:widowControl w:val="0"/>
      </w:pPr>
    </w:p>
    <w:sectPr w:rsidR="00301899" w:rsidRPr="00D5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84F78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C2497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B7D11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A71A9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AD3D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2026-03-23T07:32:00Z</cp:lastPrinted>
  <dcterms:created xsi:type="dcterms:W3CDTF">2026-03-23T07:20:00Z</dcterms:created>
  <dcterms:modified xsi:type="dcterms:W3CDTF">2026-03-23T07:32:00Z</dcterms:modified>
</cp:coreProperties>
</file>