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7AB" w:rsidRPr="00CC653A" w:rsidRDefault="001E77AB">
      <w:pPr>
        <w:pStyle w:val="nonumheader"/>
        <w:rPr>
          <w:sz w:val="32"/>
          <w:szCs w:val="32"/>
        </w:rPr>
      </w:pPr>
      <w:r w:rsidRPr="00CC653A">
        <w:rPr>
          <w:sz w:val="28"/>
          <w:szCs w:val="28"/>
        </w:rPr>
        <w:t>НОРМАТИВЫ РАСХОДА РЕСУРСОВ</w:t>
      </w:r>
      <w:r w:rsidRPr="00CC653A">
        <w:rPr>
          <w:sz w:val="28"/>
          <w:szCs w:val="28"/>
        </w:rPr>
        <w:br/>
        <w:t>В НАТУРАЛЬНОМ ВЫРАЖЕНИИ</w:t>
      </w:r>
      <w:r w:rsidRPr="00CC653A">
        <w:rPr>
          <w:sz w:val="28"/>
          <w:szCs w:val="28"/>
        </w:rPr>
        <w:br/>
        <w:t>на строительные конструкции и работы</w:t>
      </w:r>
      <w:r w:rsidRPr="00CC653A">
        <w:rPr>
          <w:sz w:val="28"/>
          <w:szCs w:val="28"/>
        </w:rPr>
        <w:br/>
        <w:t>Сборник 30</w:t>
      </w:r>
      <w:r w:rsidRPr="00CC653A">
        <w:rPr>
          <w:sz w:val="28"/>
          <w:szCs w:val="28"/>
        </w:rPr>
        <w:br/>
      </w:r>
      <w:r w:rsidRPr="00CC653A">
        <w:rPr>
          <w:sz w:val="32"/>
          <w:szCs w:val="32"/>
        </w:rPr>
        <w:t>Мосты и трубы</w:t>
      </w:r>
    </w:p>
    <w:p w:rsidR="001E77AB" w:rsidRPr="00CC653A" w:rsidRDefault="001E77AB">
      <w:pPr>
        <w:pStyle w:val="nonumheader"/>
        <w:rPr>
          <w:sz w:val="32"/>
          <w:szCs w:val="32"/>
        </w:rPr>
      </w:pPr>
      <w:r w:rsidRPr="00CC653A">
        <w:rPr>
          <w:sz w:val="28"/>
          <w:szCs w:val="28"/>
        </w:rPr>
        <w:t>НАРМАТЫВЫ РАСХОДА РЭСУРСАЎ</w:t>
      </w:r>
      <w:r w:rsidRPr="00CC653A">
        <w:rPr>
          <w:sz w:val="28"/>
          <w:szCs w:val="28"/>
        </w:rPr>
        <w:br/>
        <w:t>У НАТУРАЛЬНЫМ ВЫРАЖЭННІ</w:t>
      </w:r>
      <w:r w:rsidRPr="00CC653A">
        <w:rPr>
          <w:sz w:val="28"/>
          <w:szCs w:val="28"/>
        </w:rPr>
        <w:br/>
        <w:t xml:space="preserve">на </w:t>
      </w:r>
      <w:proofErr w:type="spellStart"/>
      <w:r w:rsidRPr="00CC653A">
        <w:rPr>
          <w:sz w:val="28"/>
          <w:szCs w:val="28"/>
        </w:rPr>
        <w:t>будаўнічыя</w:t>
      </w:r>
      <w:proofErr w:type="spellEnd"/>
      <w:r w:rsidRPr="00CC653A">
        <w:rPr>
          <w:sz w:val="28"/>
          <w:szCs w:val="28"/>
        </w:rPr>
        <w:t xml:space="preserve"> </w:t>
      </w:r>
      <w:proofErr w:type="spellStart"/>
      <w:r w:rsidRPr="00CC653A">
        <w:rPr>
          <w:sz w:val="28"/>
          <w:szCs w:val="28"/>
        </w:rPr>
        <w:t>канструкцыi</w:t>
      </w:r>
      <w:proofErr w:type="spellEnd"/>
      <w:r w:rsidRPr="00CC653A">
        <w:rPr>
          <w:sz w:val="28"/>
          <w:szCs w:val="28"/>
        </w:rPr>
        <w:t xml:space="preserve"> i работы</w:t>
      </w:r>
      <w:r w:rsidRPr="00CC653A">
        <w:rPr>
          <w:sz w:val="28"/>
          <w:szCs w:val="28"/>
        </w:rPr>
        <w:br/>
      </w:r>
      <w:proofErr w:type="spellStart"/>
      <w:r w:rsidRPr="00CC653A">
        <w:rPr>
          <w:sz w:val="28"/>
          <w:szCs w:val="28"/>
        </w:rPr>
        <w:t>Зборнік</w:t>
      </w:r>
      <w:proofErr w:type="spellEnd"/>
      <w:r w:rsidRPr="00CC653A">
        <w:rPr>
          <w:sz w:val="28"/>
          <w:szCs w:val="28"/>
        </w:rPr>
        <w:t xml:space="preserve"> 30</w:t>
      </w:r>
      <w:r w:rsidRPr="00CC653A">
        <w:rPr>
          <w:sz w:val="28"/>
          <w:szCs w:val="28"/>
        </w:rPr>
        <w:br/>
      </w:r>
      <w:proofErr w:type="spellStart"/>
      <w:r w:rsidRPr="00CC653A">
        <w:rPr>
          <w:sz w:val="32"/>
          <w:szCs w:val="32"/>
        </w:rPr>
        <w:t>Масты</w:t>
      </w:r>
      <w:proofErr w:type="spellEnd"/>
      <w:r w:rsidRPr="00CC653A">
        <w:rPr>
          <w:sz w:val="32"/>
          <w:szCs w:val="32"/>
        </w:rPr>
        <w:t xml:space="preserve"> i трубы</w:t>
      </w:r>
    </w:p>
    <w:p w:rsidR="001E77AB" w:rsidRPr="00CC653A" w:rsidRDefault="001E77AB">
      <w:pPr>
        <w:pStyle w:val="nonumheader"/>
        <w:rPr>
          <w:sz w:val="28"/>
          <w:szCs w:val="28"/>
          <w:lang w:val="en-US"/>
        </w:rPr>
      </w:pPr>
      <w:r w:rsidRPr="00CC653A">
        <w:rPr>
          <w:sz w:val="28"/>
          <w:szCs w:val="28"/>
          <w:lang w:val="en-US"/>
        </w:rPr>
        <w:t>SPECIFICATIONS OF THE EXPENSE OF RESOURCES</w:t>
      </w:r>
      <w:r w:rsidRPr="00CC653A">
        <w:rPr>
          <w:sz w:val="28"/>
          <w:szCs w:val="28"/>
          <w:lang w:val="en-US"/>
        </w:rPr>
        <w:br/>
        <w:t>IN NATURAL EXPRESSION</w:t>
      </w:r>
      <w:r w:rsidRPr="00CC653A">
        <w:rPr>
          <w:sz w:val="28"/>
          <w:szCs w:val="28"/>
          <w:lang w:val="en-US"/>
        </w:rPr>
        <w:br/>
        <w:t>for building constructions and works</w:t>
      </w:r>
      <w:r w:rsidRPr="00CC653A">
        <w:rPr>
          <w:sz w:val="28"/>
          <w:szCs w:val="28"/>
          <w:lang w:val="en-US"/>
        </w:rPr>
        <w:br/>
        <w:t>Miscellany 30</w:t>
      </w:r>
      <w:r w:rsidRPr="00CC653A">
        <w:rPr>
          <w:sz w:val="28"/>
          <w:szCs w:val="28"/>
          <w:lang w:val="en-US"/>
        </w:rPr>
        <w:br/>
        <w:t>Bridges and pipelines</w:t>
      </w:r>
    </w:p>
    <w:p w:rsidR="001E77AB" w:rsidRPr="00CC653A" w:rsidRDefault="001E77AB">
      <w:pPr>
        <w:pStyle w:val="onestring"/>
      </w:pPr>
      <w:r w:rsidRPr="00CC653A">
        <w:rPr>
          <w:b/>
          <w:bCs/>
        </w:rPr>
        <w:t xml:space="preserve">Дата введения </w:t>
      </w:r>
      <w:r w:rsidR="00903008" w:rsidRPr="00CC653A">
        <w:rPr>
          <w:b/>
          <w:bCs/>
        </w:rPr>
        <w:t>2026</w:t>
      </w:r>
      <w:r w:rsidRPr="00CC653A">
        <w:rPr>
          <w:b/>
          <w:bCs/>
        </w:rPr>
        <w:t>-05-01</w:t>
      </w:r>
    </w:p>
    <w:p w:rsidR="008F2EFC" w:rsidRPr="00CC653A" w:rsidRDefault="008F2EFC">
      <w:pPr>
        <w:pStyle w:val="nonumheader"/>
        <w:rPr>
          <w:sz w:val="28"/>
          <w:szCs w:val="28"/>
        </w:rPr>
      </w:pPr>
    </w:p>
    <w:p w:rsidR="001E77AB" w:rsidRPr="00CC653A" w:rsidRDefault="001E77AB">
      <w:pPr>
        <w:pStyle w:val="nonumheader"/>
        <w:rPr>
          <w:sz w:val="28"/>
          <w:szCs w:val="28"/>
        </w:rPr>
      </w:pPr>
      <w:r w:rsidRPr="00CC653A">
        <w:rPr>
          <w:sz w:val="28"/>
          <w:szCs w:val="28"/>
        </w:rPr>
        <w:t>ТЕХНИЧЕСКАЯ ЧАСТЬ</w:t>
      </w:r>
    </w:p>
    <w:p w:rsidR="001E77AB" w:rsidRPr="00CC653A" w:rsidRDefault="001E77AB">
      <w:pPr>
        <w:pStyle w:val="numheader"/>
        <w:rPr>
          <w:sz w:val="28"/>
          <w:szCs w:val="28"/>
        </w:rPr>
      </w:pPr>
      <w:r w:rsidRPr="00CC653A">
        <w:rPr>
          <w:sz w:val="28"/>
          <w:szCs w:val="28"/>
        </w:rPr>
        <w:t>1. ОБЩИЕ УКАЗАНИЯ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>1.1. Нормативы расхода ресурсов в натуральном выражении (далее – нормативы или нормы)* включают нормы расхода материалов, изделий и конструкций (далее – нормы расхода материалов), нормы времени эксплуатации машин и механизмов (далее – нормы эксплуатации машин) в машино-часах, нормы затрат труда рабочих и машинистов (далее – затраты труда) в человеко-часах.</w:t>
      </w:r>
    </w:p>
    <w:p w:rsidR="001E77AB" w:rsidRPr="00CC653A" w:rsidRDefault="001E77AB">
      <w:pPr>
        <w:pStyle w:val="newncpi"/>
        <w:rPr>
          <w:b/>
        </w:rPr>
      </w:pPr>
      <w:r w:rsidRPr="00CC653A">
        <w:rPr>
          <w:b/>
        </w:rPr>
        <w:t>В настоящем Сборнике приведены нормативы на работы по строительству мостов на автомобильных и железных дорогах, путях метрополитена и трамвая, а также путепроводов, пешеходных мостов, подпорных стенок, водопропускных труб, лотков и других искусственных сооружений.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>1.2. Расходы на земляные, свайные и другие вспомогательные работы при строительстве мостов и труб, не вошедшие в данный Сборник, должны определяться по соответствующим сборникам с учетом Технической части настоящего Сборника.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>1.3. При выполнении работ в зоне движения поездов в пределах до 4 м от оси пути, по которому происходит движение поездов, или на смежном пути при междупутье до 6,5 м к нормативам применяются коэффициенты, приведенные в разделе 3 Технической части.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>1.4. Расходы на работы по строительству автодорожных мостов в условиях движения транспорта определяются с учетом коэффициентов, предусмотренных в разделе 3 Технической части Сборника 27 «Автомобильные дороги».</w:t>
      </w:r>
    </w:p>
    <w:p w:rsidR="00903008" w:rsidRPr="00CC653A" w:rsidRDefault="00903008" w:rsidP="00903008">
      <w:pPr>
        <w:pStyle w:val="snoskiline"/>
      </w:pPr>
      <w:r w:rsidRPr="00CC653A">
        <w:t>______________________________</w:t>
      </w:r>
    </w:p>
    <w:p w:rsidR="00903008" w:rsidRPr="00CC653A" w:rsidRDefault="00903008" w:rsidP="00903008">
      <w:pPr>
        <w:pStyle w:val="snoski"/>
        <w:spacing w:after="240"/>
      </w:pPr>
      <w:r w:rsidRPr="00CC653A">
        <w:t>* По тексту настоящего Сборника при ссылке на конкретный норматив применяется его полная нумерация (например, «Е30-3-1») или с указанием таблицы норматива – его сокращение (например, «Таблица 30-3 (норма 1)»).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lastRenderedPageBreak/>
        <w:t>1.5. При выполнении работ с прекращением движения поездов на установленное время (работы в «окно») применяется коэффициент, приведенный в п. 3.6 раздела 3 Технической части. Термин «окно» в целях применения при составлении сметной документации коэффициента 2, установленного названным пунктом, подразумевает соблюдение следующих условий организации выполнения строительно-монтажных работ:</w:t>
      </w:r>
    </w:p>
    <w:p w:rsidR="001E77AB" w:rsidRPr="00CC653A" w:rsidRDefault="001E77AB">
      <w:pPr>
        <w:pStyle w:val="newncpi"/>
        <w:rPr>
          <w:b/>
        </w:rPr>
      </w:pPr>
      <w:r w:rsidRPr="00CC653A">
        <w:rPr>
          <w:b/>
        </w:rPr>
        <w:t>временное закрытие перегона, т.е. прекращение движения всех поездов (кроме хозяйственных) между смежными станциями, разъездами, обгонными пунктами или путевыми постами;</w:t>
      </w:r>
    </w:p>
    <w:p w:rsidR="001E77AB" w:rsidRPr="00CC653A" w:rsidRDefault="001E77AB">
      <w:pPr>
        <w:pStyle w:val="newncpi"/>
        <w:rPr>
          <w:b/>
        </w:rPr>
      </w:pPr>
      <w:r w:rsidRPr="00CC653A">
        <w:rPr>
          <w:b/>
        </w:rPr>
        <w:t>выполнение работ в «окно» установленной продолжительности. Продолжительность «окна» устанавливается в проектной документации согласно соответствующим регламентирующим нормативным документам.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>1.6. Расходы на внутрипостроечный транспорт от приобъектного склада до рабочей зоны, включая выгрузку на приобъектном складе, погрузку и выгрузку материалов и изделий, масса которых приведена в нормах, когда эти расходы не предусмотрены составами работ, следует определять дополнительно по нормам таблицы 1.</w:t>
      </w:r>
    </w:p>
    <w:p w:rsidR="001E77AB" w:rsidRPr="00CC653A" w:rsidRDefault="001E77AB">
      <w:pPr>
        <w:pStyle w:val="newncpi"/>
        <w:rPr>
          <w:b/>
        </w:rPr>
      </w:pPr>
      <w:r w:rsidRPr="00CC653A">
        <w:rPr>
          <w:b/>
        </w:rPr>
        <w:t>Под рабочей зоной понимается участок, на котором непосредственно осуществляются строительно-монтажные работы и размещаются необходимые для этого материалы.</w:t>
      </w:r>
    </w:p>
    <w:p w:rsidR="001E77AB" w:rsidRPr="00CC653A" w:rsidRDefault="001E77AB">
      <w:pPr>
        <w:pStyle w:val="newncpi"/>
        <w:rPr>
          <w:b/>
        </w:rPr>
      </w:pPr>
      <w:r w:rsidRPr="00CC653A">
        <w:rPr>
          <w:b/>
        </w:rPr>
        <w:t>В таблице 1 каждый неполный километр следует принимать за полный километр, как по графе «на 1 км», так и по графе «на каждый следующий км».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>1.7. Расходы на внутрипостроечный транспорт материалов (бетонной смеси и раствора, используемых для возведения монолитных конструкций) от бетонорастворного узла (бетонного завода), расположенного на строительной площадке, до рабочей зоны следует учитывать дополнительно по п. 6 таблицы 1. Расходы по доставке в рабочую зону бетонной смеси и раствора, получаемых за пределами строительной площадки по отпускным ценам, определяются по калькуляции транспортных расходов без добавления расходов на внутрипостроечный транспорт.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>1.8. Расходы на внутрипостроечный транспорт в соответствии с проектной документацией объекта строительства следует определять по отдельному расчету в следующих случаях:</w:t>
      </w:r>
    </w:p>
    <w:p w:rsidR="001E77AB" w:rsidRPr="00CC653A" w:rsidRDefault="001E77AB">
      <w:pPr>
        <w:pStyle w:val="newncpi"/>
        <w:rPr>
          <w:b/>
        </w:rPr>
      </w:pPr>
      <w:r w:rsidRPr="00CC653A">
        <w:rPr>
          <w:b/>
        </w:rPr>
        <w:t>а) при использовании видов транспорта, не предусмотренных таблицей 1, например, водного транспорта;</w:t>
      </w:r>
    </w:p>
    <w:p w:rsidR="001E77AB" w:rsidRPr="00CC653A" w:rsidRDefault="001E77AB">
      <w:pPr>
        <w:pStyle w:val="newncpi"/>
        <w:rPr>
          <w:b/>
        </w:rPr>
      </w:pPr>
      <w:r w:rsidRPr="00CC653A">
        <w:rPr>
          <w:b/>
        </w:rPr>
        <w:t>б) при доставке на приобъектный склад материалов и конструкций, полученных от разборки вспомогательных сооружений и обустройств;</w:t>
      </w:r>
    </w:p>
    <w:p w:rsidR="001E77AB" w:rsidRPr="00CC653A" w:rsidRDefault="001E77AB">
      <w:pPr>
        <w:pStyle w:val="newncpi"/>
        <w:rPr>
          <w:b/>
        </w:rPr>
      </w:pPr>
      <w:r w:rsidRPr="00CC653A">
        <w:rPr>
          <w:b/>
        </w:rPr>
        <w:t>в) при применении изделий массой более 25 т – расходы на погрузку и разгрузку таких изделий следует определять дополнительно.</w:t>
      </w:r>
    </w:p>
    <w:p w:rsidR="001E77AB" w:rsidRPr="00CC653A" w:rsidRDefault="001E77AB" w:rsidP="008F2EFC">
      <w:pPr>
        <w:pStyle w:val="newncpi"/>
        <w:spacing w:before="120" w:after="120"/>
      </w:pPr>
      <w:r w:rsidRPr="00CC653A">
        <w:t> </w:t>
      </w:r>
      <w:r w:rsidRPr="00CC653A">
        <w:rPr>
          <w:b/>
          <w:bCs/>
        </w:rPr>
        <w:t>Таблица 1 – Нормы на доставку 1 т материалов, изделий и конструкций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2554"/>
        <w:gridCol w:w="1053"/>
        <w:gridCol w:w="2873"/>
        <w:gridCol w:w="605"/>
        <w:gridCol w:w="648"/>
        <w:gridCol w:w="1729"/>
      </w:tblGrid>
      <w:tr w:rsidR="001E77AB" w:rsidRPr="00CC653A">
        <w:trPr>
          <w:trHeight w:val="240"/>
        </w:trPr>
        <w:tc>
          <w:tcPr>
            <w:tcW w:w="228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 №</w:t>
            </w:r>
            <w:r w:rsidRPr="00CC653A">
              <w:rPr>
                <w:b/>
              </w:rPr>
              <w:br/>
              <w:t>п/п</w:t>
            </w:r>
          </w:p>
        </w:tc>
        <w:tc>
          <w:tcPr>
            <w:tcW w:w="128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Наименование материалов и изделий</w:t>
            </w:r>
          </w:p>
        </w:tc>
        <w:tc>
          <w:tcPr>
            <w:tcW w:w="53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Код ресурса</w:t>
            </w:r>
          </w:p>
        </w:tc>
        <w:tc>
          <w:tcPr>
            <w:tcW w:w="2953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Автомобильным транспортом</w:t>
            </w:r>
          </w:p>
        </w:tc>
      </w:tr>
      <w:tr w:rsidR="001E77AB" w:rsidRPr="00CC653A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Наименование ресурсов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Ед. изм.</w:t>
            </w:r>
          </w:p>
        </w:tc>
        <w:tc>
          <w:tcPr>
            <w:tcW w:w="1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Норма расхода</w:t>
            </w:r>
          </w:p>
        </w:tc>
      </w:tr>
      <w:tr w:rsidR="001E77AB" w:rsidRPr="00CC653A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на 1 км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на каждый последующий км</w:t>
            </w:r>
          </w:p>
        </w:tc>
      </w:tr>
      <w:tr w:rsidR="009156A7" w:rsidRPr="00CC653A" w:rsidTr="009156A7">
        <w:trPr>
          <w:trHeight w:hRule="exact" w:val="227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156A7" w:rsidRPr="00CC653A" w:rsidRDefault="009156A7" w:rsidP="009156A7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CC653A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A7" w:rsidRPr="00CC653A" w:rsidRDefault="009156A7" w:rsidP="009156A7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CC653A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A7" w:rsidRPr="00CC653A" w:rsidRDefault="009156A7" w:rsidP="009156A7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CC653A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A7" w:rsidRPr="00CC653A" w:rsidRDefault="009156A7" w:rsidP="009156A7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CC653A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A7" w:rsidRPr="00CC653A" w:rsidRDefault="009156A7" w:rsidP="009156A7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CC653A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156A7" w:rsidRPr="00CC653A" w:rsidRDefault="009156A7" w:rsidP="009156A7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6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156A7" w:rsidRPr="00CC653A" w:rsidRDefault="009156A7" w:rsidP="009156A7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7</w:t>
            </w:r>
          </w:p>
        </w:tc>
      </w:tr>
      <w:tr w:rsidR="001E77AB" w:rsidRPr="00CC653A">
        <w:trPr>
          <w:trHeight w:val="240"/>
        </w:trPr>
        <w:tc>
          <w:tcPr>
            <w:tcW w:w="22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1</w:t>
            </w:r>
          </w:p>
        </w:tc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rPr>
                <w:b/>
              </w:rPr>
            </w:pPr>
            <w:r w:rsidRPr="00CC653A">
              <w:rPr>
                <w:b/>
              </w:rPr>
              <w:t>Сборные бетонные и железобетонные изделия массой до 15 т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rPr>
                <w:b/>
              </w:rPr>
            </w:pPr>
            <w:r w:rsidRPr="00CC653A">
              <w:rPr>
                <w:b/>
              </w:rPr>
              <w:t> 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rPr>
                <w:b/>
              </w:rPr>
            </w:pPr>
            <w:r w:rsidRPr="00CC653A">
              <w:rPr>
                <w:b/>
              </w:rPr>
              <w:t>Такелажник (средний разряд 3,2)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чел.ч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0,408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–</w:t>
            </w:r>
          </w:p>
        </w:tc>
      </w:tr>
      <w:tr w:rsidR="001E77AB" w:rsidRPr="00CC653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М400102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rPr>
                <w:b/>
              </w:rPr>
            </w:pPr>
            <w:r w:rsidRPr="00CC653A">
              <w:rPr>
                <w:b/>
              </w:rPr>
              <w:t>Тягачи седельные 15 т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маш.ч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0,274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0,022</w:t>
            </w:r>
          </w:p>
        </w:tc>
      </w:tr>
      <w:tr w:rsidR="001E77AB" w:rsidRPr="00CC653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М400131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rPr>
                <w:b/>
              </w:rPr>
            </w:pPr>
            <w:r w:rsidRPr="00CC653A">
              <w:rPr>
                <w:b/>
              </w:rPr>
              <w:t>Полуприцепы-тяжеловозы 40 т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маш.ч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0,274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0,022</w:t>
            </w:r>
          </w:p>
        </w:tc>
      </w:tr>
      <w:tr w:rsidR="001E77AB" w:rsidRPr="00CC653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М021152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rPr>
                <w:b/>
              </w:rPr>
            </w:pPr>
            <w:r w:rsidRPr="00CC653A">
              <w:rPr>
                <w:b/>
              </w:rPr>
              <w:t>Краны на автомобильном ходу при работе на других видах строительства 50 т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маш.ч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0,208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–</w:t>
            </w:r>
          </w:p>
        </w:tc>
      </w:tr>
      <w:tr w:rsidR="001E77AB" w:rsidRPr="00CC653A">
        <w:trPr>
          <w:trHeight w:val="240"/>
        </w:trPr>
        <w:tc>
          <w:tcPr>
            <w:tcW w:w="22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2</w:t>
            </w:r>
          </w:p>
        </w:tc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rPr>
                <w:b/>
              </w:rPr>
            </w:pPr>
            <w:r w:rsidRPr="00CC653A">
              <w:rPr>
                <w:b/>
              </w:rPr>
              <w:t>Сборные бетонные и железобетонные изделия массой свыше 15 т до 25 т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 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rPr>
                <w:b/>
              </w:rPr>
            </w:pPr>
            <w:r w:rsidRPr="00CC653A">
              <w:rPr>
                <w:b/>
              </w:rPr>
              <w:t>Такелажник (средний разряд 3,1)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чел.ч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0,648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–</w:t>
            </w:r>
          </w:p>
        </w:tc>
      </w:tr>
      <w:tr w:rsidR="001E77AB" w:rsidRPr="00CC653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М400103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rPr>
                <w:b/>
              </w:rPr>
            </w:pPr>
            <w:r w:rsidRPr="00CC653A">
              <w:rPr>
                <w:b/>
              </w:rPr>
              <w:t>Тягачи седельные 20 т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маш.ч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0,225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0,009</w:t>
            </w:r>
          </w:p>
        </w:tc>
      </w:tr>
      <w:tr w:rsidR="001E77AB" w:rsidRPr="00CC653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М400131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rPr>
                <w:b/>
              </w:rPr>
            </w:pPr>
            <w:r w:rsidRPr="00CC653A">
              <w:rPr>
                <w:b/>
              </w:rPr>
              <w:t>Полуприцепы-тяжеловозы 40 т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маш.ч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0,225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0,009</w:t>
            </w:r>
          </w:p>
        </w:tc>
      </w:tr>
    </w:tbl>
    <w:p w:rsidR="008F2EFC" w:rsidRPr="00CC653A" w:rsidRDefault="00903008" w:rsidP="008F2EF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653A">
        <w:rPr>
          <w:rFonts w:ascii="Times New Roman" w:hAnsi="Times New Roman" w:cs="Times New Roman"/>
          <w:b/>
          <w:sz w:val="24"/>
          <w:szCs w:val="24"/>
        </w:rPr>
        <w:lastRenderedPageBreak/>
        <w:t>Продолжение таблицы</w:t>
      </w:r>
      <w:r w:rsidR="008F2EFC" w:rsidRPr="00CC653A">
        <w:rPr>
          <w:rFonts w:ascii="Times New Roman" w:hAnsi="Times New Roman" w:cs="Times New Roman"/>
          <w:b/>
          <w:sz w:val="24"/>
          <w:szCs w:val="24"/>
        </w:rPr>
        <w:t xml:space="preserve"> 1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2554"/>
        <w:gridCol w:w="1053"/>
        <w:gridCol w:w="2873"/>
        <w:gridCol w:w="605"/>
        <w:gridCol w:w="648"/>
        <w:gridCol w:w="1729"/>
      </w:tblGrid>
      <w:tr w:rsidR="008F2EFC" w:rsidRPr="00CC653A" w:rsidTr="00C85CC4">
        <w:trPr>
          <w:trHeight w:val="240"/>
        </w:trPr>
        <w:tc>
          <w:tcPr>
            <w:tcW w:w="228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2EFC" w:rsidRPr="00CC653A" w:rsidRDefault="008F2EFC" w:rsidP="00C85CC4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№</w:t>
            </w:r>
            <w:r w:rsidRPr="00CC653A">
              <w:rPr>
                <w:b/>
              </w:rPr>
              <w:br/>
              <w:t>п/п</w:t>
            </w:r>
          </w:p>
        </w:tc>
        <w:tc>
          <w:tcPr>
            <w:tcW w:w="128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2EFC" w:rsidRPr="00CC653A" w:rsidRDefault="008F2EFC" w:rsidP="00C85CC4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Наименование материалов и изделий</w:t>
            </w:r>
          </w:p>
        </w:tc>
        <w:tc>
          <w:tcPr>
            <w:tcW w:w="53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2EFC" w:rsidRPr="00CC653A" w:rsidRDefault="008F2EFC" w:rsidP="00C85CC4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Код ресурса</w:t>
            </w:r>
          </w:p>
        </w:tc>
        <w:tc>
          <w:tcPr>
            <w:tcW w:w="2953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2EFC" w:rsidRPr="00CC653A" w:rsidRDefault="008F2EFC" w:rsidP="00C85CC4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Автомобильным транспортом</w:t>
            </w:r>
          </w:p>
        </w:tc>
      </w:tr>
      <w:tr w:rsidR="008F2EFC" w:rsidRPr="00CC653A" w:rsidTr="00C85CC4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FC" w:rsidRPr="00CC653A" w:rsidRDefault="008F2EFC" w:rsidP="00C85CC4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FC" w:rsidRPr="00CC653A" w:rsidRDefault="008F2EFC" w:rsidP="00C85CC4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FC" w:rsidRPr="00CC653A" w:rsidRDefault="008F2EFC" w:rsidP="00C85CC4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2EFC" w:rsidRPr="00CC653A" w:rsidRDefault="008F2EFC" w:rsidP="00C85CC4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Наименование ресурсов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2EFC" w:rsidRPr="00CC653A" w:rsidRDefault="008F2EFC" w:rsidP="00C85CC4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Ед. изм.</w:t>
            </w:r>
          </w:p>
        </w:tc>
        <w:tc>
          <w:tcPr>
            <w:tcW w:w="1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2EFC" w:rsidRPr="00CC653A" w:rsidRDefault="008F2EFC" w:rsidP="00C85CC4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Норма расхода</w:t>
            </w:r>
          </w:p>
        </w:tc>
      </w:tr>
      <w:tr w:rsidR="008F2EFC" w:rsidRPr="00CC653A" w:rsidTr="00C85CC4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FC" w:rsidRPr="00CC653A" w:rsidRDefault="008F2EFC" w:rsidP="00C85CC4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FC" w:rsidRPr="00CC653A" w:rsidRDefault="008F2EFC" w:rsidP="00C85CC4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FC" w:rsidRPr="00CC653A" w:rsidRDefault="008F2EFC" w:rsidP="00C85CC4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FC" w:rsidRPr="00CC653A" w:rsidRDefault="008F2EFC" w:rsidP="00C85CC4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FC" w:rsidRPr="00CC653A" w:rsidRDefault="008F2EFC" w:rsidP="00C85CC4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2EFC" w:rsidRPr="00CC653A" w:rsidRDefault="008F2EFC" w:rsidP="00C85CC4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на 1 км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2EFC" w:rsidRPr="00CC653A" w:rsidRDefault="008F2EFC" w:rsidP="00C85CC4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на каждый последующий км</w:t>
            </w:r>
          </w:p>
        </w:tc>
      </w:tr>
      <w:tr w:rsidR="008F2EFC" w:rsidRPr="00CC653A" w:rsidTr="00C85CC4">
        <w:trPr>
          <w:trHeight w:hRule="exact" w:val="227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2EFC" w:rsidRPr="00CC653A" w:rsidRDefault="008F2EFC" w:rsidP="00C85CC4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CC653A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FC" w:rsidRPr="00CC653A" w:rsidRDefault="008F2EFC" w:rsidP="00C85CC4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CC653A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FC" w:rsidRPr="00CC653A" w:rsidRDefault="008F2EFC" w:rsidP="00C85CC4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CC653A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FC" w:rsidRPr="00CC653A" w:rsidRDefault="008F2EFC" w:rsidP="00C85CC4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CC653A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FC" w:rsidRPr="00CC653A" w:rsidRDefault="008F2EFC" w:rsidP="00C85CC4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CC653A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2EFC" w:rsidRPr="00CC653A" w:rsidRDefault="008F2EFC" w:rsidP="00C85CC4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6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2EFC" w:rsidRPr="00CC653A" w:rsidRDefault="008F2EFC" w:rsidP="00C85CC4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7</w:t>
            </w:r>
          </w:p>
        </w:tc>
      </w:tr>
      <w:tr w:rsidR="001E77AB" w:rsidRPr="00CC653A">
        <w:trPr>
          <w:trHeight w:val="2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М021152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rPr>
                <w:b/>
              </w:rPr>
            </w:pPr>
            <w:r w:rsidRPr="00CC653A">
              <w:rPr>
                <w:b/>
              </w:rPr>
              <w:t>Краны на автомобильном ходу при работе на других видах строительства 50 т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маш.ч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0,198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–</w:t>
            </w:r>
          </w:p>
        </w:tc>
      </w:tr>
      <w:tr w:rsidR="001E77AB" w:rsidRPr="00CC653A">
        <w:trPr>
          <w:trHeight w:val="240"/>
        </w:trPr>
        <w:tc>
          <w:tcPr>
            <w:tcW w:w="22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3</w:t>
            </w:r>
          </w:p>
        </w:tc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rPr>
                <w:b/>
              </w:rPr>
            </w:pPr>
            <w:r w:rsidRPr="00CC653A">
              <w:rPr>
                <w:b/>
              </w:rPr>
              <w:t>Металлоконструкции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 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rPr>
                <w:b/>
              </w:rPr>
            </w:pPr>
            <w:r w:rsidRPr="00CC653A">
              <w:rPr>
                <w:b/>
              </w:rPr>
              <w:t>Такелажник (средний разряд 3,2)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чел.ч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0,408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–</w:t>
            </w:r>
          </w:p>
        </w:tc>
      </w:tr>
      <w:tr w:rsidR="001E77AB" w:rsidRPr="00CC653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М400103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rPr>
                <w:b/>
              </w:rPr>
            </w:pPr>
            <w:r w:rsidRPr="00CC653A">
              <w:rPr>
                <w:b/>
              </w:rPr>
              <w:t>Тягачи седельные 20 т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маш.ч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0,274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0,022</w:t>
            </w:r>
          </w:p>
        </w:tc>
      </w:tr>
      <w:tr w:rsidR="001E77AB" w:rsidRPr="00CC653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М400131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rPr>
                <w:b/>
              </w:rPr>
            </w:pPr>
            <w:r w:rsidRPr="00CC653A">
              <w:rPr>
                <w:b/>
              </w:rPr>
              <w:t>Полуприцепы-тяжеловозы 40 т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маш.ч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0,274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0,022</w:t>
            </w:r>
          </w:p>
        </w:tc>
      </w:tr>
      <w:tr w:rsidR="001E77AB" w:rsidRPr="00CC653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М021150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rPr>
                <w:b/>
              </w:rPr>
            </w:pPr>
            <w:r w:rsidRPr="00CC653A">
              <w:rPr>
                <w:b/>
              </w:rPr>
              <w:t>Краны на автомобильном ходу при работе на других видах строительства 25 т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маш.ч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0,208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–</w:t>
            </w:r>
          </w:p>
        </w:tc>
      </w:tr>
      <w:tr w:rsidR="001E77AB" w:rsidRPr="00CC653A">
        <w:trPr>
          <w:trHeight w:val="240"/>
        </w:trPr>
        <w:tc>
          <w:tcPr>
            <w:tcW w:w="22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4</w:t>
            </w:r>
          </w:p>
        </w:tc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rPr>
                <w:b/>
              </w:rPr>
            </w:pPr>
            <w:r w:rsidRPr="00CC653A">
              <w:rPr>
                <w:b/>
              </w:rPr>
              <w:t>Лесоматериалы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 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rPr>
                <w:b/>
              </w:rPr>
            </w:pPr>
            <w:r w:rsidRPr="00CC653A">
              <w:rPr>
                <w:b/>
              </w:rPr>
              <w:t>Такелажник (средний разряд 2,2)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чел.ч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0,654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–</w:t>
            </w:r>
          </w:p>
        </w:tc>
      </w:tr>
      <w:tr w:rsidR="001E77AB" w:rsidRPr="00CC653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М400004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rPr>
                <w:b/>
              </w:rPr>
            </w:pPr>
            <w:r w:rsidRPr="00CC653A">
              <w:rPr>
                <w:b/>
              </w:rPr>
              <w:t>Автомобили бортовые грузоподъемностью до 15 т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маш.ч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0,433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0,018</w:t>
            </w:r>
          </w:p>
        </w:tc>
      </w:tr>
      <w:tr w:rsidR="001E77AB" w:rsidRPr="00CC653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М400111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rPr>
                <w:b/>
              </w:rPr>
            </w:pPr>
            <w:r w:rsidRPr="00CC653A">
              <w:rPr>
                <w:b/>
              </w:rPr>
              <w:t>Полуприцепы общего назначения 12 т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маш.ч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0,433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0,018</w:t>
            </w:r>
          </w:p>
        </w:tc>
      </w:tr>
      <w:tr w:rsidR="001E77AB" w:rsidRPr="00CC653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М021143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rPr>
                <w:b/>
              </w:rPr>
            </w:pPr>
            <w:r w:rsidRPr="00CC653A">
              <w:rPr>
                <w:b/>
              </w:rPr>
              <w:t>Краны на автомобильном ходу при работе на других видах строительства 16 т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маш.ч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0,38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–</w:t>
            </w:r>
          </w:p>
        </w:tc>
      </w:tr>
      <w:tr w:rsidR="001E77AB" w:rsidRPr="00CC653A">
        <w:trPr>
          <w:trHeight w:val="240"/>
        </w:trPr>
        <w:tc>
          <w:tcPr>
            <w:tcW w:w="22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5</w:t>
            </w:r>
          </w:p>
        </w:tc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rPr>
                <w:b/>
              </w:rPr>
            </w:pPr>
            <w:r w:rsidRPr="00CC653A">
              <w:rPr>
                <w:b/>
              </w:rPr>
              <w:t>Сыпучие материалы (щебень, песок, гравий и другие)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М060340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rPr>
                <w:b/>
              </w:rPr>
            </w:pPr>
            <w:r w:rsidRPr="00CC653A">
              <w:rPr>
                <w:b/>
              </w:rPr>
              <w:t>Экскаваторы одноковшовые дизельные на пневмоколесном ходу при работе на других видах строительства 0,65 м</w:t>
            </w:r>
            <w:r w:rsidRPr="00CC653A">
              <w:rPr>
                <w:b/>
                <w:vertAlign w:val="superscript"/>
              </w:rPr>
              <w:t>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маш.ч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0,042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–</w:t>
            </w:r>
          </w:p>
        </w:tc>
      </w:tr>
      <w:tr w:rsidR="001E77AB" w:rsidRPr="00CC653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М400052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rPr>
                <w:b/>
              </w:rPr>
            </w:pPr>
            <w:r w:rsidRPr="00CC653A">
              <w:rPr>
                <w:b/>
              </w:rPr>
              <w:t>Автомобиль-самосвал грузоподъемностью 20 т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маш.ч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0,052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0,01</w:t>
            </w:r>
          </w:p>
        </w:tc>
      </w:tr>
      <w:tr w:rsidR="001E77AB" w:rsidRPr="00CC653A">
        <w:trPr>
          <w:trHeight w:val="240"/>
        </w:trPr>
        <w:tc>
          <w:tcPr>
            <w:tcW w:w="22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6</w:t>
            </w:r>
          </w:p>
        </w:tc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rPr>
                <w:b/>
              </w:rPr>
            </w:pPr>
            <w:r w:rsidRPr="00CC653A">
              <w:rPr>
                <w:b/>
              </w:rPr>
              <w:t>Бетоны, растворы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 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rPr>
                <w:b/>
              </w:rPr>
            </w:pPr>
            <w:r w:rsidRPr="00CC653A">
              <w:rPr>
                <w:b/>
              </w:rPr>
              <w:t>Подсобный рабочий (средний разряд 1)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чел.ч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0,308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–</w:t>
            </w:r>
          </w:p>
        </w:tc>
      </w:tr>
      <w:tr w:rsidR="001E77AB" w:rsidRPr="00CC653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М400052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rPr>
                <w:b/>
              </w:rPr>
            </w:pPr>
            <w:r w:rsidRPr="00CC653A">
              <w:rPr>
                <w:b/>
              </w:rPr>
              <w:t>Автомобиль-самосвал грузоподъемностью 20 т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маш.ч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0,21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0,01</w:t>
            </w:r>
          </w:p>
        </w:tc>
      </w:tr>
    </w:tbl>
    <w:p w:rsidR="001E77AB" w:rsidRPr="00CC653A" w:rsidRDefault="001E77AB">
      <w:pPr>
        <w:pStyle w:val="newncpi"/>
      </w:pPr>
      <w:r w:rsidRPr="00CC653A">
        <w:t> 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 xml:space="preserve">1.9. Расходы на эксплуатацию плавучих средств (буксиров, катеров, плавучих кранов, водолазных станций, копров, </w:t>
      </w:r>
      <w:proofErr w:type="spellStart"/>
      <w:r w:rsidRPr="00CC653A">
        <w:rPr>
          <w:b/>
        </w:rPr>
        <w:t>якорниц</w:t>
      </w:r>
      <w:proofErr w:type="spellEnd"/>
      <w:r w:rsidRPr="00CC653A">
        <w:rPr>
          <w:b/>
        </w:rPr>
        <w:t xml:space="preserve"> и др.), обслуживающих технологические процессы, должны учитываться дополнительно.</w:t>
      </w:r>
    </w:p>
    <w:p w:rsidR="001E77AB" w:rsidRPr="00CC653A" w:rsidRDefault="001E77AB">
      <w:pPr>
        <w:pStyle w:val="newncpi"/>
        <w:rPr>
          <w:b/>
        </w:rPr>
      </w:pPr>
      <w:r w:rsidRPr="00CC653A">
        <w:rPr>
          <w:b/>
        </w:rPr>
        <w:t>Перечень, тип плавучих средств и нормы их эксплуатации определяются в соответствии с данными проекта организации строительства (далее – ПОС).</w:t>
      </w:r>
    </w:p>
    <w:p w:rsidR="001E77AB" w:rsidRPr="00CC653A" w:rsidRDefault="00903008">
      <w:pPr>
        <w:pStyle w:val="underpoint"/>
        <w:rPr>
          <w:b/>
        </w:rPr>
      </w:pPr>
      <w:r w:rsidRPr="00CC653A">
        <w:rPr>
          <w:b/>
        </w:rPr>
        <w:t>1.10.</w:t>
      </w:r>
      <w:r w:rsidR="001E77AB" w:rsidRPr="00CC653A">
        <w:rPr>
          <w:b/>
        </w:rPr>
        <w:t> Расходы на установку и обстройку кранов и копров на плашкоутах следует определять дополнительно.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>1.11. При работе в «окно», а также в случаях, когда по условиям производства работ или эксплуатации крана на железнодорожном ходу сопровождающий его тепловоз должен находиться при кране, нормы времени эксплуатации тепловоза следует принимать равным нормам времени эксплуатации крана.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>1.12. При установке кранами пролетных строений разной длины на одном мосту (автодорожном, железнодорожном, пешеходном или путепроводе) расходы по их установке определяются по нормативам, предназначенным для пролетных строений большей длины.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>1.13. При определении расходов на установку пролетных строений консольными кранами на железнодорожном ходу дополнительно следует учитывать на основании проектной документации объекта строительства и соответствующих сборников расходы на следующие работы:</w:t>
      </w:r>
    </w:p>
    <w:p w:rsidR="001E77AB" w:rsidRPr="00CC653A" w:rsidRDefault="001E77AB">
      <w:pPr>
        <w:pStyle w:val="newncpi"/>
        <w:rPr>
          <w:b/>
        </w:rPr>
      </w:pPr>
      <w:r w:rsidRPr="00CC653A">
        <w:rPr>
          <w:b/>
        </w:rPr>
        <w:t>а) уплотнение насыпи, усиление и обкатка пути;</w:t>
      </w:r>
    </w:p>
    <w:p w:rsidR="001E77AB" w:rsidRPr="00CC653A" w:rsidRDefault="001E77AB">
      <w:pPr>
        <w:pStyle w:val="newncpi"/>
        <w:rPr>
          <w:b/>
        </w:rPr>
      </w:pPr>
      <w:r w:rsidRPr="00CC653A">
        <w:rPr>
          <w:b/>
        </w:rPr>
        <w:lastRenderedPageBreak/>
        <w:t>б) устройство железнодорожных тупиков;</w:t>
      </w:r>
    </w:p>
    <w:p w:rsidR="001E77AB" w:rsidRPr="00CC653A" w:rsidRDefault="001E77AB">
      <w:pPr>
        <w:pStyle w:val="newncpi"/>
        <w:rPr>
          <w:b/>
        </w:rPr>
      </w:pPr>
      <w:r w:rsidRPr="00CC653A">
        <w:rPr>
          <w:b/>
        </w:rPr>
        <w:t>в) устранение возвышения наружного рельса в случае работы крана на кривом участке пути и восстановление возвышения наружного рельса после окончания работы крана;</w:t>
      </w:r>
    </w:p>
    <w:p w:rsidR="001E77AB" w:rsidRPr="00CC653A" w:rsidRDefault="001E77AB">
      <w:pPr>
        <w:pStyle w:val="newncpi"/>
        <w:rPr>
          <w:b/>
        </w:rPr>
      </w:pPr>
      <w:r w:rsidRPr="00CC653A">
        <w:rPr>
          <w:b/>
        </w:rPr>
        <w:t>г) удаление попадающих в габарит крана и пролетного строения путевых знаков, предельных столбиков, указателей и установка их после окончания работы крана.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>1.14. При установке пролетных строений расходы по доставке кранов на железнодорожном ходу до станции назначения, ограничивающей перегон, и обратно следует определять отдельным расчетом.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>1.15. Расходы на подачу кранов на железнодорожном ходу от станции назначения, ограничивающей перегон, к месту работ на расстояние до 10 км и обратно, а также их перемещение на мосту в рабочей зоне учтены в нормативах. Расходы на подачу кранов на железнодорожном ходу на расстояние сверх 10 км, учтенных в нормативах, следует учитывать дополнительно.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>1.16. В случае применения для разгрузки изделий кранов на железнодорожном ходу грузоподъемностью 45 т и более расходы по их доставке к станции, ограничивающей перегон, и обратно следует определять отдельным расчетом.</w:t>
      </w:r>
    </w:p>
    <w:p w:rsidR="001E77AB" w:rsidRPr="00CC653A" w:rsidRDefault="001E77AB">
      <w:pPr>
        <w:pStyle w:val="newncpi"/>
        <w:rPr>
          <w:b/>
        </w:rPr>
      </w:pPr>
      <w:r w:rsidRPr="00CC653A">
        <w:rPr>
          <w:b/>
        </w:rPr>
        <w:t>Способ разгрузки изделий, включенных в таблицу 2, следует принимать по ПОС на основании сравнения вариантов: с использованием кранов на железнодорожном ходу или с использованием специальных обустройств.</w:t>
      </w:r>
    </w:p>
    <w:p w:rsidR="001E77AB" w:rsidRPr="00CC653A" w:rsidRDefault="001E77AB" w:rsidP="008F2EFC">
      <w:pPr>
        <w:pStyle w:val="newncpi"/>
        <w:spacing w:before="120" w:after="120"/>
      </w:pPr>
      <w:r w:rsidRPr="00CC653A">
        <w:t> </w:t>
      </w:r>
      <w:r w:rsidRPr="00CC653A">
        <w:rPr>
          <w:b/>
          <w:bCs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"/>
        <w:gridCol w:w="2324"/>
        <w:gridCol w:w="2221"/>
        <w:gridCol w:w="1689"/>
        <w:gridCol w:w="1656"/>
        <w:gridCol w:w="1648"/>
      </w:tblGrid>
      <w:tr w:rsidR="001E77AB" w:rsidRPr="00CC653A" w:rsidTr="008F2EFC">
        <w:trPr>
          <w:trHeight w:val="240"/>
        </w:trPr>
        <w:tc>
          <w:tcPr>
            <w:tcW w:w="190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 №</w:t>
            </w:r>
            <w:r w:rsidRPr="00CC653A">
              <w:rPr>
                <w:b/>
              </w:rPr>
              <w:br/>
              <w:t>п/п</w:t>
            </w:r>
          </w:p>
        </w:tc>
        <w:tc>
          <w:tcPr>
            <w:tcW w:w="314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Балки пролетных строений мостов и путепроводов длиной, м</w:t>
            </w:r>
          </w:p>
        </w:tc>
        <w:tc>
          <w:tcPr>
            <w:tcW w:w="83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Блоки опор массой, т</w:t>
            </w:r>
          </w:p>
        </w:tc>
        <w:tc>
          <w:tcPr>
            <w:tcW w:w="831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Количество разгружаемых изделий за один вызов, шт.</w:t>
            </w:r>
          </w:p>
        </w:tc>
      </w:tr>
      <w:tr w:rsidR="001E77AB" w:rsidRPr="00CC653A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Железобетонные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Металлические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1E77AB" w:rsidRPr="00CC653A" w:rsidTr="008F2EFC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Железнодорожные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Автодорожные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9156A7" w:rsidRPr="00CC653A" w:rsidTr="008F2EFC">
        <w:trPr>
          <w:trHeight w:hRule="exact" w:val="227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156A7" w:rsidRPr="00CC653A" w:rsidRDefault="009156A7" w:rsidP="009156A7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CC653A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156A7" w:rsidRPr="00CC653A" w:rsidRDefault="009156A7" w:rsidP="009156A7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2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156A7" w:rsidRPr="00CC653A" w:rsidRDefault="009156A7" w:rsidP="009156A7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A7" w:rsidRPr="00CC653A" w:rsidRDefault="009156A7" w:rsidP="009156A7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CC653A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A7" w:rsidRPr="00CC653A" w:rsidRDefault="009156A7" w:rsidP="009156A7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CC653A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56A7" w:rsidRPr="00CC653A" w:rsidRDefault="009156A7" w:rsidP="009156A7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CC653A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E77AB" w:rsidRPr="00CC653A" w:rsidTr="008F2EFC">
        <w:trPr>
          <w:trHeight w:val="240"/>
        </w:trPr>
        <w:tc>
          <w:tcPr>
            <w:tcW w:w="1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1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–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16–20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–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3</w:t>
            </w:r>
          </w:p>
        </w:tc>
      </w:tr>
      <w:tr w:rsidR="001E77AB" w:rsidRPr="00CC653A" w:rsidTr="008F2EFC">
        <w:trPr>
          <w:trHeight w:val="240"/>
        </w:trPr>
        <w:tc>
          <w:tcPr>
            <w:tcW w:w="1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2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6–18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20–23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18–25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более 15 до 25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2</w:t>
            </w:r>
          </w:p>
        </w:tc>
      </w:tr>
      <w:tr w:rsidR="001E77AB" w:rsidRPr="00CC653A" w:rsidTr="008F2EFC">
        <w:trPr>
          <w:trHeight w:val="240"/>
        </w:trPr>
        <w:tc>
          <w:tcPr>
            <w:tcW w:w="19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3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более 18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более 23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более 25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более 25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1</w:t>
            </w:r>
          </w:p>
        </w:tc>
      </w:tr>
    </w:tbl>
    <w:p w:rsidR="001E77AB" w:rsidRPr="00CC653A" w:rsidRDefault="001E77AB">
      <w:pPr>
        <w:pStyle w:val="newncpi"/>
      </w:pPr>
      <w:r w:rsidRPr="00CC653A">
        <w:t> 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>1.17. Количество вызовов крана на железнодорожном ходу для разгрузки изделий следует определять в ПОС, а одновременное количество разгружаемых изделий за один вызов крана принимать из условия получения их на стройплощадке.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>1.18. Количество разгружаемых изделий за один вызов крана, в случае отсутствия данных об одновременном количестве получения их на стройплощадке, следует принимать по таблице 2.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>1.19. Расходы на изготовление, сборку и разборку монтажных траверс для работы крана должны учитываться дополнительно.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>1.20. В нормативах учтены расходы на монтаж бетонных и железобетонных конструкций на высоте до 25 м. При монтаже конструкций на высоте более 25 м применяются коэффициенты, приведенные в разделе 3 Технической части.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>1.21. Расходы на вспомогательные конструкции, специальные обустройства и приспособления (опалубка специальных видов; обустройства для возведения опор мостов, сборки, надвижки и подъема пролетных строений, крупноблочных элементов, бетонирования; при навесном и полунавесном монтаже; бетоновозные и крановые эстакады; шпунтовые ограждения), не учтенные в нормативах, учитываются дополнительно на основании проектной документации объекта строительства.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>1.22. Расходы по устройству оснований под опоры подмостей и накаточных путей следует учитывать дополнительно (по проектной документации объекта строительства).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 xml:space="preserve">1.23. Нормативами учтены расходы по </w:t>
      </w:r>
      <w:proofErr w:type="spellStart"/>
      <w:r w:rsidRPr="00CC653A">
        <w:rPr>
          <w:b/>
        </w:rPr>
        <w:t>омоноличиванию</w:t>
      </w:r>
      <w:proofErr w:type="spellEnd"/>
      <w:r w:rsidRPr="00CC653A">
        <w:rPr>
          <w:b/>
        </w:rPr>
        <w:t xml:space="preserve"> сборных элементов бетоном или раствором без стыкования арматуры, а также расход бетона и раствора (стыки между звеньями и блоками оголовков труб, между блоками подпорных стенок).</w:t>
      </w:r>
    </w:p>
    <w:p w:rsidR="001E77AB" w:rsidRPr="00CC653A" w:rsidRDefault="001E77AB">
      <w:pPr>
        <w:pStyle w:val="newncpi"/>
        <w:rPr>
          <w:b/>
        </w:rPr>
      </w:pPr>
      <w:r w:rsidRPr="00CC653A">
        <w:rPr>
          <w:b/>
        </w:rPr>
        <w:lastRenderedPageBreak/>
        <w:t xml:space="preserve">Расходы на </w:t>
      </w:r>
      <w:proofErr w:type="spellStart"/>
      <w:r w:rsidRPr="00CC653A">
        <w:rPr>
          <w:b/>
        </w:rPr>
        <w:t>омоноличивание</w:t>
      </w:r>
      <w:proofErr w:type="spellEnd"/>
      <w:r w:rsidRPr="00CC653A">
        <w:rPr>
          <w:b/>
        </w:rPr>
        <w:t xml:space="preserve"> сборных элементов со стыкованием арматуры в случаях, когда это не предусмотрено нормативами настоящего Сборника, следует исчислять дополнительно.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>1.24. Расходы на безопасный пропуск паводковых вод и ликвидацию последствий паводков определяются отдельным расчетом.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>1.25. Расходы на испытания мостов определяются отдельным расчетом.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 xml:space="preserve">1.26. Нормативы </w:t>
      </w:r>
      <w:r w:rsidR="00903008" w:rsidRPr="00CC653A">
        <w:rPr>
          <w:b/>
        </w:rPr>
        <w:t>Т</w:t>
      </w:r>
      <w:r w:rsidRPr="00CC653A">
        <w:rPr>
          <w:b/>
        </w:rPr>
        <w:t>аблицы 30-16 не учитывают расходы на вспомогательные обустройства, применение которых обосновывается в проектной документации объекта строительства.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 xml:space="preserve">1.27. Нормативы </w:t>
      </w:r>
      <w:r w:rsidR="00903008" w:rsidRPr="00CC653A">
        <w:rPr>
          <w:b/>
        </w:rPr>
        <w:t>Т</w:t>
      </w:r>
      <w:r w:rsidRPr="00CC653A">
        <w:rPr>
          <w:b/>
        </w:rPr>
        <w:t>аблицы 30-19 (нормы 1, 2) на установку стреловыми кранами железобетонных пролетных строений длиной от 6 до 12 м следует применять для установки балок в пролетах путепроводов над автомобильной и железной дорогой и в однопролетных мостах.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 xml:space="preserve">1.28. В нормативах </w:t>
      </w:r>
      <w:r w:rsidR="00903008" w:rsidRPr="00CC653A">
        <w:rPr>
          <w:b/>
        </w:rPr>
        <w:t>Т</w:t>
      </w:r>
      <w:r w:rsidRPr="00CC653A">
        <w:rPr>
          <w:b/>
        </w:rPr>
        <w:t xml:space="preserve">аблицы 30-19 (нормы 1, 2) и </w:t>
      </w:r>
      <w:r w:rsidR="00903008" w:rsidRPr="00CC653A">
        <w:rPr>
          <w:b/>
        </w:rPr>
        <w:t>Т</w:t>
      </w:r>
      <w:r w:rsidRPr="00CC653A">
        <w:rPr>
          <w:b/>
        </w:rPr>
        <w:t>аблицы 30-20 на установку стреловыми кранами на опоры мостов железобетонных балочных пролетных строений в соответствии с проектной документацией объекта строительства следует дополнительно учитывать расходы на устройство и разборку временных подкрановых путей.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 xml:space="preserve">1.29. В нормативах </w:t>
      </w:r>
      <w:r w:rsidR="00903008" w:rsidRPr="00CC653A">
        <w:rPr>
          <w:b/>
        </w:rPr>
        <w:t>Т</w:t>
      </w:r>
      <w:r w:rsidRPr="00CC653A">
        <w:rPr>
          <w:b/>
        </w:rPr>
        <w:t xml:space="preserve">аблицы 30-19 (нормы 3, 4) на установку консольными кранами на опоры мостов железобетонных балочных пролетных строений под железнодорожные пути следует дополнительно учитывать расходы на устройство и разборку подмостей под </w:t>
      </w:r>
      <w:proofErr w:type="spellStart"/>
      <w:r w:rsidRPr="00CC653A">
        <w:rPr>
          <w:b/>
        </w:rPr>
        <w:t>накаточные</w:t>
      </w:r>
      <w:proofErr w:type="spellEnd"/>
      <w:r w:rsidRPr="00CC653A">
        <w:rPr>
          <w:b/>
        </w:rPr>
        <w:t xml:space="preserve"> пути для обстройки опор на кривых.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 xml:space="preserve">1.30. В нормативах </w:t>
      </w:r>
      <w:r w:rsidR="00903008" w:rsidRPr="00CC653A">
        <w:rPr>
          <w:b/>
        </w:rPr>
        <w:t>Т</w:t>
      </w:r>
      <w:r w:rsidRPr="00CC653A">
        <w:rPr>
          <w:b/>
        </w:rPr>
        <w:t>аблицы 30-9 (норма 3) учтены расходы на сооружение типовых опор-стенок с использованием типовых вспомогательных конструкций.</w:t>
      </w:r>
    </w:p>
    <w:p w:rsidR="001E77AB" w:rsidRPr="00CC653A" w:rsidRDefault="001E77AB">
      <w:pPr>
        <w:pStyle w:val="newncpi"/>
        <w:rPr>
          <w:b/>
        </w:rPr>
      </w:pPr>
      <w:r w:rsidRPr="00CC653A">
        <w:rPr>
          <w:b/>
        </w:rPr>
        <w:t>При сооружении нетиповых (индивидуальных) опор-стенок расходы специальных вспомогательных обустройств (подмостей, кондукторов и др.) следует учитывать дополнительно с учетом возврата материалов, полученных от разборки.</w:t>
      </w:r>
    </w:p>
    <w:p w:rsidR="001E77AB" w:rsidRPr="00CC653A" w:rsidRDefault="001E77AB">
      <w:pPr>
        <w:pStyle w:val="newncpi"/>
        <w:rPr>
          <w:b/>
        </w:rPr>
      </w:pPr>
      <w:r w:rsidRPr="00CC653A">
        <w:rPr>
          <w:b/>
        </w:rPr>
        <w:t>Расходы на заполнение вертикальных пазов в стыках стенок следует учитывать дополнительно по нормативам на заполнение свай-оболочек бетонной смесью.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 xml:space="preserve">1.31. В нормативах </w:t>
      </w:r>
      <w:r w:rsidR="00903008" w:rsidRPr="00CC653A">
        <w:rPr>
          <w:b/>
        </w:rPr>
        <w:t>Т</w:t>
      </w:r>
      <w:r w:rsidRPr="00CC653A">
        <w:rPr>
          <w:b/>
        </w:rPr>
        <w:t>аблицы 30-25 на монтаж навесным способом железобетонных пролетных строений мостов под автомобильные дороги дополнительно должны учитываться следующие работы и расходы:</w:t>
      </w:r>
    </w:p>
    <w:p w:rsidR="001E77AB" w:rsidRPr="00CC653A" w:rsidRDefault="001E77AB">
      <w:pPr>
        <w:pStyle w:val="newncpi"/>
        <w:rPr>
          <w:b/>
        </w:rPr>
      </w:pPr>
      <w:r w:rsidRPr="00CC653A">
        <w:rPr>
          <w:b/>
        </w:rPr>
        <w:t>а) устройство и разборка подкрановых путей;</w:t>
      </w:r>
    </w:p>
    <w:p w:rsidR="001E77AB" w:rsidRPr="00CC653A" w:rsidRDefault="001E77AB">
      <w:pPr>
        <w:pStyle w:val="newncpi"/>
        <w:rPr>
          <w:b/>
        </w:rPr>
      </w:pPr>
      <w:r w:rsidRPr="00CC653A">
        <w:rPr>
          <w:b/>
        </w:rPr>
        <w:t>б) устройство стенда для заготовки и предварительного растяжения арматуры;</w:t>
      </w:r>
    </w:p>
    <w:p w:rsidR="001E77AB" w:rsidRPr="00CC653A" w:rsidRDefault="001E77AB">
      <w:pPr>
        <w:pStyle w:val="newncpi"/>
        <w:rPr>
          <w:b/>
        </w:rPr>
      </w:pPr>
      <w:r w:rsidRPr="00CC653A">
        <w:rPr>
          <w:b/>
        </w:rPr>
        <w:t>в) металлические упоры и отклоняющие приспособления (закладные детали).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>1.32. Нормативы таблиц 30-31 – 30-34 предназначены для определения расходов на сборку неразрезных железобетонных пролетных строений автодорожных мостов плитно-ребристой конструкции (ПРК) при длине пролета до 80 м.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 xml:space="preserve">1.33. К нормативам </w:t>
      </w:r>
      <w:r w:rsidR="00903008" w:rsidRPr="00CC653A">
        <w:rPr>
          <w:b/>
        </w:rPr>
        <w:t>Т</w:t>
      </w:r>
      <w:r w:rsidRPr="00CC653A">
        <w:rPr>
          <w:b/>
        </w:rPr>
        <w:t>аблицы 30-34 необходимо дополнительно учитывать расходы на устройство стенда для заготовки и изготовления пучков высокопрочной арматуры.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>1.34. К нормативам таблиц 30-43 на монтаж навесным и полунавесным способом стальных пролетных строений необходимо дополнительно учитывать следующие работы и расходы:</w:t>
      </w:r>
    </w:p>
    <w:p w:rsidR="001E77AB" w:rsidRPr="00CC653A" w:rsidRDefault="001E77AB">
      <w:pPr>
        <w:pStyle w:val="newncpi"/>
        <w:rPr>
          <w:b/>
        </w:rPr>
      </w:pPr>
      <w:r w:rsidRPr="00CC653A">
        <w:rPr>
          <w:b/>
        </w:rPr>
        <w:t>а) сборку соединительных элементов пролетных строений длиной более 110 м;</w:t>
      </w:r>
    </w:p>
    <w:p w:rsidR="001E77AB" w:rsidRPr="00CC653A" w:rsidRDefault="001E77AB">
      <w:pPr>
        <w:pStyle w:val="newncpi"/>
        <w:rPr>
          <w:b/>
        </w:rPr>
      </w:pPr>
      <w:r w:rsidRPr="00CC653A">
        <w:rPr>
          <w:b/>
        </w:rPr>
        <w:t>б) расход высокопрочных болтов.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 xml:space="preserve">1.35. Нормативы </w:t>
      </w:r>
      <w:r w:rsidR="00903008" w:rsidRPr="00CC653A">
        <w:rPr>
          <w:b/>
        </w:rPr>
        <w:t>Т</w:t>
      </w:r>
      <w:r w:rsidRPr="00CC653A">
        <w:rPr>
          <w:b/>
        </w:rPr>
        <w:t xml:space="preserve">аблицы 30-42 (норма 1) применяются при установке металлических пакетных пролетных строений в однопролетных мостах. В остальных случаях установку металлических пролетных строений следует определять по нормативам </w:t>
      </w:r>
      <w:r w:rsidR="00903008" w:rsidRPr="00CC653A">
        <w:rPr>
          <w:b/>
        </w:rPr>
        <w:t>Т</w:t>
      </w:r>
      <w:r w:rsidRPr="00CC653A">
        <w:rPr>
          <w:b/>
        </w:rPr>
        <w:t>аблицы 30-42 (нормы 2, 3).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>1.36. По нормативам таблиц 30-44 – 30-45 определяются расходы по продольной и поперечной передвижке однопутных стальных пролетных строений мостов под железную дорогу и спаренных ферм пролетных строений мостов под автомобильную дорогу.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lastRenderedPageBreak/>
        <w:t xml:space="preserve">1.37. В нормативах </w:t>
      </w:r>
      <w:r w:rsidR="00903008" w:rsidRPr="00CC653A">
        <w:rPr>
          <w:b/>
        </w:rPr>
        <w:t>Т</w:t>
      </w:r>
      <w:r w:rsidRPr="00CC653A">
        <w:rPr>
          <w:b/>
        </w:rPr>
        <w:t>аблицы 30-48 (нормы 5-8) на установку сборных железобетонных балластных корыт расход металлоконструкций гибких и жестких упоров следует учитывать дополнительно.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 xml:space="preserve">1.38. Нормативы </w:t>
      </w:r>
      <w:r w:rsidR="00903008" w:rsidRPr="00CC653A">
        <w:rPr>
          <w:b/>
        </w:rPr>
        <w:t>Т</w:t>
      </w:r>
      <w:r w:rsidRPr="00CC653A">
        <w:rPr>
          <w:b/>
        </w:rPr>
        <w:t>аблицы 30-49 не учитывают расходы по клеймению и обвязке мостовых брусьев.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 xml:space="preserve">1.39. В нормативах </w:t>
      </w:r>
      <w:r w:rsidR="00903008" w:rsidRPr="00CC653A">
        <w:rPr>
          <w:b/>
        </w:rPr>
        <w:t>Т</w:t>
      </w:r>
      <w:r w:rsidRPr="00CC653A">
        <w:rPr>
          <w:b/>
        </w:rPr>
        <w:t>аблицы 30-51 на устройство деревянных опор и ледорезов дополнительно следует учитывать обсыпку ряжей камнем в объемах, предусмотренных проектной документацией объекта строительства.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 xml:space="preserve">1.40. В нормативах </w:t>
      </w:r>
      <w:r w:rsidR="00903008" w:rsidRPr="00CC653A">
        <w:rPr>
          <w:b/>
        </w:rPr>
        <w:t>Т</w:t>
      </w:r>
      <w:r w:rsidRPr="00CC653A">
        <w:rPr>
          <w:b/>
        </w:rPr>
        <w:t>аблицы 30-72 на устройство железобетонных водоотводных лотков в случаях, когда проектной документацией объекта строительства предусматривается засыпка пазух траншей щебнем, расход песка следует заменить расходом щебня в том же объеме.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 xml:space="preserve">1.41. В нормативах </w:t>
      </w:r>
      <w:r w:rsidR="00903008" w:rsidRPr="00CC653A">
        <w:rPr>
          <w:b/>
        </w:rPr>
        <w:t>Т</w:t>
      </w:r>
      <w:r w:rsidRPr="00CC653A">
        <w:rPr>
          <w:b/>
        </w:rPr>
        <w:t>аблицы 30-91 на изготовление пакетных пролетных строений из двутавровых балок расходы на устройство мостового полотна на пакетном пролетном строении следует исчислять дополнительно.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 xml:space="preserve">1.42. Нормативы </w:t>
      </w:r>
      <w:r w:rsidR="00903008" w:rsidRPr="00CC653A">
        <w:rPr>
          <w:b/>
        </w:rPr>
        <w:t>Т</w:t>
      </w:r>
      <w:r w:rsidRPr="00CC653A">
        <w:rPr>
          <w:b/>
        </w:rPr>
        <w:t>аблицы 30-85 на приготовление бетона для искусственных сооружений в построечных условиях допускается применять при удалении строительной площадки от бетонных заводов (бетонорастворных узлов), состоящих на промышленном балансе, на расстояние, не допускающее транспортирование бетонов и растворов.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 xml:space="preserve">1.43. В нормативах </w:t>
      </w:r>
      <w:r w:rsidR="00903008" w:rsidRPr="00CC653A">
        <w:rPr>
          <w:b/>
        </w:rPr>
        <w:t>Т</w:t>
      </w:r>
      <w:r w:rsidRPr="00CC653A">
        <w:rPr>
          <w:b/>
        </w:rPr>
        <w:t>аблиц 30-31 на сборку стальных перемещающихся подмостей из инвентарных конструкций и 30-88 на устройство стальных подмостей и пирсов из инвентарных конструкций приведен общий расход материалов, необходимый для выполнения работ. При составлении сметной документации стоимость инвентарных металлических конструкций учитывается в размере амортизационных отчислений на основании таблицы 3. Приведенные в таблице 3 коэффициенты зависят от количества месяцев нахождения конструкций, смонтированных (собранных) из инвентарных конструкций, под нагрузкой и применяются к общему объему подмостей и пирсов, монтируемых (собираемых) из инвентарных конструкций.</w:t>
      </w:r>
    </w:p>
    <w:p w:rsidR="001E77AB" w:rsidRPr="00CC653A" w:rsidRDefault="001E77AB" w:rsidP="008F2EFC">
      <w:pPr>
        <w:pStyle w:val="newncpi"/>
        <w:spacing w:before="120" w:after="120"/>
      </w:pPr>
      <w:r w:rsidRPr="00CC653A">
        <w:rPr>
          <w:b/>
        </w:rPr>
        <w:t> </w:t>
      </w:r>
      <w:r w:rsidRPr="00CC653A">
        <w:rPr>
          <w:b/>
          <w:bCs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1"/>
        <w:gridCol w:w="1713"/>
        <w:gridCol w:w="1715"/>
        <w:gridCol w:w="1529"/>
        <w:gridCol w:w="1713"/>
        <w:gridCol w:w="1713"/>
      </w:tblGrid>
      <w:tr w:rsidR="001E77AB" w:rsidRPr="00CC653A">
        <w:trPr>
          <w:trHeight w:val="240"/>
        </w:trPr>
        <w:tc>
          <w:tcPr>
            <w:tcW w:w="77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 Количество месяцев под нагрузкой</w:t>
            </w:r>
          </w:p>
        </w:tc>
        <w:tc>
          <w:tcPr>
            <w:tcW w:w="17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Коэффициент</w:t>
            </w:r>
          </w:p>
        </w:tc>
        <w:tc>
          <w:tcPr>
            <w:tcW w:w="77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Количество месяцев под нагрузкой</w:t>
            </w:r>
          </w:p>
        </w:tc>
        <w:tc>
          <w:tcPr>
            <w:tcW w:w="172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Коэффициент</w:t>
            </w:r>
          </w:p>
        </w:tc>
      </w:tr>
      <w:tr w:rsidR="001E77AB" w:rsidRPr="00CC653A" w:rsidTr="008F2EFC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для мостовых инвентарных конструкций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для инвентарных подмостей ручной сборки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для мостовых инвентарных конструкций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для инвентарных подмостей ручной сборки</w:t>
            </w:r>
          </w:p>
        </w:tc>
      </w:tr>
      <w:tr w:rsidR="009156A7" w:rsidRPr="00CC653A" w:rsidTr="008F2EFC">
        <w:trPr>
          <w:trHeight w:hRule="exact" w:val="227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156A7" w:rsidRPr="00CC653A" w:rsidRDefault="009156A7" w:rsidP="009156A7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CC653A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156A7" w:rsidRPr="00CC653A" w:rsidRDefault="009156A7" w:rsidP="009156A7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2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156A7" w:rsidRPr="00CC653A" w:rsidRDefault="009156A7" w:rsidP="009156A7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A7" w:rsidRPr="00CC653A" w:rsidRDefault="009156A7" w:rsidP="009156A7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CC653A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156A7" w:rsidRPr="00CC653A" w:rsidRDefault="009156A7" w:rsidP="009156A7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5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156A7" w:rsidRPr="00CC653A" w:rsidRDefault="009156A7" w:rsidP="009156A7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6</w:t>
            </w:r>
          </w:p>
        </w:tc>
      </w:tr>
      <w:tr w:rsidR="001E77AB" w:rsidRPr="00CC653A" w:rsidTr="008F2EFC">
        <w:trPr>
          <w:trHeight w:val="240"/>
        </w:trPr>
        <w:tc>
          <w:tcPr>
            <w:tcW w:w="7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0,0614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0,0673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0,1225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0,16</w:t>
            </w:r>
          </w:p>
        </w:tc>
      </w:tr>
      <w:tr w:rsidR="001E77AB" w:rsidRPr="00CC653A" w:rsidTr="008F2EFC">
        <w:trPr>
          <w:trHeight w:val="240"/>
        </w:trPr>
        <w:tc>
          <w:tcPr>
            <w:tcW w:w="7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0,0729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0,0845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9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0,1289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0,1833</w:t>
            </w:r>
          </w:p>
        </w:tc>
      </w:tr>
      <w:tr w:rsidR="001E77AB" w:rsidRPr="00CC653A" w:rsidTr="008F2EFC">
        <w:trPr>
          <w:trHeight w:val="240"/>
        </w:trPr>
        <w:tc>
          <w:tcPr>
            <w:tcW w:w="7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0,0843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0,1018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10–11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0,1425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0,216</w:t>
            </w:r>
          </w:p>
        </w:tc>
      </w:tr>
      <w:tr w:rsidR="001E77AB" w:rsidRPr="00CC653A" w:rsidTr="008F2EFC">
        <w:trPr>
          <w:trHeight w:val="240"/>
        </w:trPr>
        <w:tc>
          <w:tcPr>
            <w:tcW w:w="7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0,0958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0,1191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12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0,16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0,216</w:t>
            </w:r>
          </w:p>
        </w:tc>
      </w:tr>
      <w:tr w:rsidR="001E77AB" w:rsidRPr="00CC653A" w:rsidTr="008F2EFC">
        <w:trPr>
          <w:trHeight w:val="240"/>
        </w:trPr>
        <w:tc>
          <w:tcPr>
            <w:tcW w:w="7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5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0,1072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0,1273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13–5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0,1833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0,265</w:t>
            </w:r>
          </w:p>
        </w:tc>
      </w:tr>
      <w:tr w:rsidR="001E77AB" w:rsidRPr="00CC653A" w:rsidTr="008F2EFC">
        <w:trPr>
          <w:trHeight w:val="240"/>
        </w:trPr>
        <w:tc>
          <w:tcPr>
            <w:tcW w:w="7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0,1094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0,1358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16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0,216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0,265</w:t>
            </w:r>
          </w:p>
        </w:tc>
      </w:tr>
      <w:tr w:rsidR="001E77AB" w:rsidRPr="00CC653A" w:rsidTr="008F2EFC">
        <w:trPr>
          <w:trHeight w:val="240"/>
        </w:trPr>
        <w:tc>
          <w:tcPr>
            <w:tcW w:w="77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0,1182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0,1425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17–18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0,216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0,3467</w:t>
            </w:r>
          </w:p>
        </w:tc>
      </w:tr>
    </w:tbl>
    <w:p w:rsidR="001E77AB" w:rsidRPr="00CC653A" w:rsidRDefault="001E77AB">
      <w:pPr>
        <w:pStyle w:val="newncpi"/>
      </w:pPr>
      <w:r w:rsidRPr="00CC653A">
        <w:t> 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>1.44. При устройстве подмостей и пирсов из стальных инвентарных конструкций с добавлением стальных неинвентарных конструкций расходы по сборке и разборке следует определять по нормативам таблицы 30-88 на сумму массы стальных конструкций, а стоимость их в смете определять раздельно в соответствии с действующими положениями.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 xml:space="preserve">1.45. В нормативах </w:t>
      </w:r>
      <w:r w:rsidR="00903008" w:rsidRPr="00CC653A">
        <w:rPr>
          <w:b/>
        </w:rPr>
        <w:t>Т</w:t>
      </w:r>
      <w:r w:rsidRPr="00CC653A">
        <w:rPr>
          <w:b/>
        </w:rPr>
        <w:t>аблицы 30-89 на устройство шпальных клеток возврат шпал следует учитывать в размере 85 %.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 xml:space="preserve">1.46. В нормативах </w:t>
      </w:r>
      <w:r w:rsidR="00903008" w:rsidRPr="00CC653A">
        <w:rPr>
          <w:b/>
        </w:rPr>
        <w:t>Т</w:t>
      </w:r>
      <w:r w:rsidRPr="00CC653A">
        <w:rPr>
          <w:b/>
        </w:rPr>
        <w:t>аблицы 30-90 не учтены расходы по изготовлению, транспортированию, установке и демонтажу направляющих каркасов для погружения свай и свай-оболочек, которые определяются отдельным расчетом.</w:t>
      </w:r>
    </w:p>
    <w:p w:rsidR="001E77AB" w:rsidRPr="00CC653A" w:rsidRDefault="001E77AB">
      <w:pPr>
        <w:pStyle w:val="newncpi"/>
        <w:rPr>
          <w:b/>
        </w:rPr>
      </w:pPr>
      <w:r w:rsidRPr="00CC653A">
        <w:rPr>
          <w:b/>
        </w:rPr>
        <w:lastRenderedPageBreak/>
        <w:t xml:space="preserve">Расходы на эксплуатацию плавучих средств для установки каркасов в русле реки (плавучих кранов, копров, </w:t>
      </w:r>
      <w:proofErr w:type="spellStart"/>
      <w:r w:rsidRPr="00CC653A">
        <w:rPr>
          <w:b/>
        </w:rPr>
        <w:t>якорниц</w:t>
      </w:r>
      <w:proofErr w:type="spellEnd"/>
      <w:r w:rsidRPr="00CC653A">
        <w:rPr>
          <w:b/>
        </w:rPr>
        <w:t xml:space="preserve"> и др.) следует учитывать дополнительно в соответствии с указаниями п. 1.9 Технической части.</w:t>
      </w:r>
    </w:p>
    <w:p w:rsidR="001E77AB" w:rsidRPr="00CC653A" w:rsidRDefault="001E77AB">
      <w:pPr>
        <w:pStyle w:val="newncpi"/>
        <w:rPr>
          <w:b/>
        </w:rPr>
      </w:pPr>
      <w:r w:rsidRPr="00CC653A">
        <w:rPr>
          <w:b/>
        </w:rPr>
        <w:t>Расходы по балластировке плашкоутов в нормативах на установку направляющих каркасов в русле реки не учтены.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 xml:space="preserve">1.47. Расходы на установку рельсовых пакетов для перекрытия траншей шириной до 2 м в нормативах </w:t>
      </w:r>
      <w:r w:rsidR="00903008" w:rsidRPr="00CC653A">
        <w:rPr>
          <w:b/>
        </w:rPr>
        <w:t>Т</w:t>
      </w:r>
      <w:r w:rsidRPr="00CC653A">
        <w:rPr>
          <w:b/>
        </w:rPr>
        <w:t>аблицы 30-93 следует учитывать дополнительно.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>1.48. Расходы на изготовление и установку механизмов смотровых приспособлений следует определять дополнительно.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>1.49. При выполнении мостостроительных работ с применением импортной строительной техники, не имеющей аналогов отечественного производства, следует разрабатывать индивидуальные нормативы.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>1.50. В таблицах нормативов приняты нормы расхода ресурсов, приведенных в наименовании. В случае применения в проектной документации объекта строительства ресурсов, отличных от приведенных, следует производить корректировку нормативов в соответствии с проектной документацией объекта строительства.</w:t>
      </w:r>
    </w:p>
    <w:p w:rsidR="00C85CC4" w:rsidRPr="00CC653A" w:rsidRDefault="00C85CC4" w:rsidP="00C85C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CC653A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1.51. В нормативах сборника не учтены:</w:t>
      </w:r>
    </w:p>
    <w:p w:rsidR="00CC653A" w:rsidRPr="00CC653A" w:rsidRDefault="00CC653A" w:rsidP="00CC6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bookmarkStart w:id="0" w:name="_Hlk182900331"/>
      <w:r w:rsidRPr="00CC653A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нормы времени эксплуатации вспомогательных машин и механизмов, затраты на эксплуатацию которых установлены в процентной норме от стоимости эксплуатации машин и механизмов, учтенных в нормативах, согласно Таблице </w:t>
      </w:r>
      <w:r w:rsidRPr="00CC653A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4</w:t>
      </w:r>
      <w:r w:rsidRPr="00CC653A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</w:p>
    <w:p w:rsidR="00CC653A" w:rsidRPr="00CC653A" w:rsidRDefault="00CC653A" w:rsidP="00CC6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CC653A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нормы расхода вспомогательных материалов, затраты на которые установлены в процентной норме от стоимости материальных ресурсов с конкретным кодом каталога-классификатора материалов для строительства, учтенных в нормативах расхода ресурсов в натуральном выражении, согласно Таблице </w:t>
      </w:r>
      <w:r w:rsidRPr="00CC653A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5</w:t>
      </w:r>
      <w:r w:rsidRPr="00CC653A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  <w:bookmarkEnd w:id="0"/>
    </w:p>
    <w:p w:rsidR="00CC653A" w:rsidRPr="00CC653A" w:rsidRDefault="00CC653A" w:rsidP="00CC6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CC653A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транспортные расходы (включая затраты на хранение) по доставке вспомогательных материалов, которые установлены в процентной норме от стоимости вспомогательных материалов, согласно Таблице </w:t>
      </w:r>
      <w:r w:rsidRPr="00CC653A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5</w:t>
      </w:r>
      <w:r w:rsidRPr="00CC653A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цен.</w:t>
      </w:r>
    </w:p>
    <w:p w:rsidR="00C85CC4" w:rsidRPr="00CC653A" w:rsidRDefault="00C85CC4" w:rsidP="00C85C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C85CC4" w:rsidRPr="00CC653A" w:rsidRDefault="00C85CC4" w:rsidP="00C85CC4">
      <w:pPr>
        <w:pStyle w:val="newncpi"/>
        <w:spacing w:after="120"/>
        <w:rPr>
          <w:b/>
        </w:rPr>
      </w:pPr>
      <w:r w:rsidRPr="00CC653A">
        <w:t> </w:t>
      </w:r>
      <w:r w:rsidRPr="00CC653A">
        <w:rPr>
          <w:b/>
        </w:rPr>
        <w:t xml:space="preserve">Таблица 4 – </w:t>
      </w:r>
      <w:r w:rsidR="00CC653A" w:rsidRPr="00CC653A">
        <w:rPr>
          <w:rFonts w:eastAsia="Times New Roman"/>
          <w:b/>
          <w:szCs w:val="20"/>
          <w:lang w:eastAsia="x-none"/>
        </w:rPr>
        <w:t>Нормы затрат на вспомогательные машины и механизмы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250"/>
        <w:gridCol w:w="2334"/>
        <w:gridCol w:w="2330"/>
      </w:tblGrid>
      <w:tr w:rsidR="00BA58E7" w:rsidRPr="00CC653A" w:rsidTr="00CC653A">
        <w:trPr>
          <w:trHeight w:val="765"/>
        </w:trPr>
        <w:tc>
          <w:tcPr>
            <w:tcW w:w="5250" w:type="dxa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Номера таблиц (норм)</w:t>
            </w:r>
          </w:p>
        </w:tc>
        <w:tc>
          <w:tcPr>
            <w:tcW w:w="2334" w:type="dxa"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 xml:space="preserve">% вспомогательных машин и механизмов от стоимости </w:t>
            </w:r>
            <w:r w:rsidR="00CC653A" w:rsidRPr="00CC653A">
              <w:rPr>
                <w:rFonts w:eastAsia="Times New Roman"/>
                <w:b/>
                <w:bCs/>
                <w:sz w:val="20"/>
                <w:szCs w:val="20"/>
              </w:rPr>
              <w:t xml:space="preserve">эксплуатации </w:t>
            </w: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машин и механизмов, учтенных в нормативах</w:t>
            </w:r>
          </w:p>
        </w:tc>
        <w:tc>
          <w:tcPr>
            <w:tcW w:w="2330" w:type="dxa"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BA58E7" w:rsidRPr="00CC653A" w:rsidTr="00CC653A">
        <w:trPr>
          <w:trHeight w:val="55"/>
        </w:trPr>
        <w:tc>
          <w:tcPr>
            <w:tcW w:w="5250" w:type="dxa"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34" w:type="dxa"/>
            <w:noWrap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30" w:type="dxa"/>
            <w:noWrap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BA58E7" w:rsidRPr="00CC653A" w:rsidTr="00CC653A">
        <w:trPr>
          <w:trHeight w:val="591"/>
        </w:trPr>
        <w:tc>
          <w:tcPr>
            <w:tcW w:w="5250" w:type="dxa"/>
            <w:hideMark/>
          </w:tcPr>
          <w:p w:rsidR="00BA58E7" w:rsidRPr="00CC653A" w:rsidRDefault="00BA58E7" w:rsidP="00BA58E7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30-7, 30-9 (5), 30-19 (2,3,4,5), 30-20, 30-24 (2), 30-27, 30-34, 30-35, 30-36 (1,2), 30-38 (1,2), 30-40, 30-48 (4,6,7,8), 30-78 (1), 30-79, 30-80 (2)</w:t>
            </w:r>
          </w:p>
        </w:tc>
        <w:tc>
          <w:tcPr>
            <w:tcW w:w="2334" w:type="dxa"/>
            <w:vMerge w:val="restart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2330" w:type="dxa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BA58E7" w:rsidRPr="00CC653A" w:rsidTr="00CC653A">
        <w:trPr>
          <w:trHeight w:val="55"/>
        </w:trPr>
        <w:tc>
          <w:tcPr>
            <w:tcW w:w="5250" w:type="dxa"/>
            <w:hideMark/>
          </w:tcPr>
          <w:p w:rsidR="00BA58E7" w:rsidRPr="00CC653A" w:rsidRDefault="00BA58E7" w:rsidP="00BA58E7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30-22 (1,2)</w:t>
            </w:r>
          </w:p>
        </w:tc>
        <w:tc>
          <w:tcPr>
            <w:tcW w:w="2334" w:type="dxa"/>
            <w:vMerge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30" w:type="dxa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8.6</w:t>
            </w:r>
          </w:p>
        </w:tc>
      </w:tr>
      <w:tr w:rsidR="00BA58E7" w:rsidRPr="00CC653A" w:rsidTr="00CC653A">
        <w:trPr>
          <w:trHeight w:val="124"/>
        </w:trPr>
        <w:tc>
          <w:tcPr>
            <w:tcW w:w="5250" w:type="dxa"/>
            <w:hideMark/>
          </w:tcPr>
          <w:p w:rsidR="00BA58E7" w:rsidRPr="00CC653A" w:rsidRDefault="00BA58E7" w:rsidP="00BA58E7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30-22 (3)</w:t>
            </w:r>
          </w:p>
        </w:tc>
        <w:tc>
          <w:tcPr>
            <w:tcW w:w="2334" w:type="dxa"/>
            <w:vMerge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30" w:type="dxa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13.2</w:t>
            </w:r>
          </w:p>
        </w:tc>
      </w:tr>
      <w:tr w:rsidR="00BA58E7" w:rsidRPr="00CC653A" w:rsidTr="00CC653A">
        <w:trPr>
          <w:trHeight w:val="270"/>
        </w:trPr>
        <w:tc>
          <w:tcPr>
            <w:tcW w:w="5250" w:type="dxa"/>
            <w:hideMark/>
          </w:tcPr>
          <w:p w:rsidR="00BA58E7" w:rsidRPr="00CC653A" w:rsidRDefault="00BA58E7" w:rsidP="00BA58E7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30-4, 30-9 (4), 30-12 (2), 30-19 (1), 30-26, 30-29 (1,2), 30-36 (3), 30-38 (3), 30-44 (1,2), 30-48 (5), 30-77 (6)</w:t>
            </w:r>
          </w:p>
        </w:tc>
        <w:tc>
          <w:tcPr>
            <w:tcW w:w="2334" w:type="dxa"/>
            <w:vMerge w:val="restart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2330" w:type="dxa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BA58E7" w:rsidRPr="00CC653A" w:rsidTr="00CC653A">
        <w:trPr>
          <w:trHeight w:val="68"/>
        </w:trPr>
        <w:tc>
          <w:tcPr>
            <w:tcW w:w="5250" w:type="dxa"/>
            <w:hideMark/>
          </w:tcPr>
          <w:p w:rsidR="00BA58E7" w:rsidRPr="00CC653A" w:rsidRDefault="00BA58E7" w:rsidP="00BA58E7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30-12 (1)</w:t>
            </w:r>
          </w:p>
        </w:tc>
        <w:tc>
          <w:tcPr>
            <w:tcW w:w="2334" w:type="dxa"/>
            <w:vMerge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30" w:type="dxa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24.4</w:t>
            </w:r>
          </w:p>
        </w:tc>
      </w:tr>
      <w:tr w:rsidR="00BA58E7" w:rsidRPr="00CC653A" w:rsidTr="00CC653A">
        <w:trPr>
          <w:trHeight w:val="55"/>
        </w:trPr>
        <w:tc>
          <w:tcPr>
            <w:tcW w:w="5250" w:type="dxa"/>
            <w:hideMark/>
          </w:tcPr>
          <w:p w:rsidR="00BA58E7" w:rsidRPr="00CC653A" w:rsidRDefault="00BA58E7" w:rsidP="00BA58E7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30-45 (1,2,3)</w:t>
            </w:r>
          </w:p>
        </w:tc>
        <w:tc>
          <w:tcPr>
            <w:tcW w:w="2334" w:type="dxa"/>
            <w:vMerge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30" w:type="dxa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31.4</w:t>
            </w:r>
          </w:p>
        </w:tc>
      </w:tr>
    </w:tbl>
    <w:p w:rsidR="00CC653A" w:rsidRPr="00CC653A" w:rsidRDefault="00CC653A" w:rsidP="00CC653A">
      <w:pPr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CC653A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lastRenderedPageBreak/>
        <w:t>Продолжение таблицы 4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250"/>
        <w:gridCol w:w="2334"/>
        <w:gridCol w:w="2330"/>
      </w:tblGrid>
      <w:tr w:rsidR="00CC653A" w:rsidRPr="00CC653A" w:rsidTr="00CC653A">
        <w:trPr>
          <w:trHeight w:val="765"/>
        </w:trPr>
        <w:tc>
          <w:tcPr>
            <w:tcW w:w="5250" w:type="dxa"/>
            <w:noWrap/>
            <w:vAlign w:val="center"/>
            <w:hideMark/>
          </w:tcPr>
          <w:p w:rsidR="00CC653A" w:rsidRPr="00CC653A" w:rsidRDefault="00CC653A" w:rsidP="00CC653A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Номера таблиц (норм)</w:t>
            </w:r>
          </w:p>
        </w:tc>
        <w:tc>
          <w:tcPr>
            <w:tcW w:w="2334" w:type="dxa"/>
            <w:vAlign w:val="center"/>
            <w:hideMark/>
          </w:tcPr>
          <w:p w:rsidR="00CC653A" w:rsidRPr="00CC653A" w:rsidRDefault="00CC653A" w:rsidP="00CC653A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% вспомогательных машин и механизмов от стоимости эксплуатации машин и механизмов, учтенных в нормативах</w:t>
            </w:r>
          </w:p>
        </w:tc>
        <w:tc>
          <w:tcPr>
            <w:tcW w:w="2330" w:type="dxa"/>
            <w:vAlign w:val="center"/>
            <w:hideMark/>
          </w:tcPr>
          <w:p w:rsidR="00CC653A" w:rsidRPr="00CC653A" w:rsidRDefault="00CC653A" w:rsidP="00CC653A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CC653A" w:rsidRPr="00CC653A" w:rsidTr="00CC653A">
        <w:trPr>
          <w:trHeight w:val="55"/>
        </w:trPr>
        <w:tc>
          <w:tcPr>
            <w:tcW w:w="5250" w:type="dxa"/>
          </w:tcPr>
          <w:p w:rsidR="00CC653A" w:rsidRPr="00CC653A" w:rsidRDefault="00CC653A" w:rsidP="00F4202F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34" w:type="dxa"/>
            <w:noWrap/>
          </w:tcPr>
          <w:p w:rsidR="00CC653A" w:rsidRPr="00CC653A" w:rsidRDefault="00CC653A" w:rsidP="00F4202F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30" w:type="dxa"/>
            <w:noWrap/>
          </w:tcPr>
          <w:p w:rsidR="00CC653A" w:rsidRPr="00CC653A" w:rsidRDefault="00CC653A" w:rsidP="00F4202F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BA58E7" w:rsidRPr="00CC653A" w:rsidTr="00CC653A">
        <w:trPr>
          <w:trHeight w:val="104"/>
        </w:trPr>
        <w:tc>
          <w:tcPr>
            <w:tcW w:w="5250" w:type="dxa"/>
            <w:hideMark/>
          </w:tcPr>
          <w:p w:rsidR="00BA58E7" w:rsidRPr="00CC653A" w:rsidRDefault="00BA58E7" w:rsidP="00BA58E7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30-11 (2), 30-13 (2,4), 30-14 (2), 30-30 (1), 30-48 (2)</w:t>
            </w:r>
          </w:p>
        </w:tc>
        <w:tc>
          <w:tcPr>
            <w:tcW w:w="2334" w:type="dxa"/>
            <w:vMerge w:val="restart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2330" w:type="dxa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BA58E7" w:rsidRPr="00CC653A" w:rsidTr="00CC653A">
        <w:trPr>
          <w:trHeight w:val="55"/>
        </w:trPr>
        <w:tc>
          <w:tcPr>
            <w:tcW w:w="5250" w:type="dxa"/>
            <w:hideMark/>
          </w:tcPr>
          <w:p w:rsidR="00BA58E7" w:rsidRPr="00CC653A" w:rsidRDefault="00BA58E7" w:rsidP="00BA58E7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30-11 (1)</w:t>
            </w:r>
          </w:p>
        </w:tc>
        <w:tc>
          <w:tcPr>
            <w:tcW w:w="2334" w:type="dxa"/>
            <w:vMerge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30" w:type="dxa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24.4</w:t>
            </w:r>
          </w:p>
        </w:tc>
      </w:tr>
      <w:tr w:rsidR="00BA58E7" w:rsidRPr="00CC653A" w:rsidTr="00CC653A">
        <w:trPr>
          <w:trHeight w:val="55"/>
        </w:trPr>
        <w:tc>
          <w:tcPr>
            <w:tcW w:w="5250" w:type="dxa"/>
            <w:hideMark/>
          </w:tcPr>
          <w:p w:rsidR="00BA58E7" w:rsidRPr="00CC653A" w:rsidRDefault="00BA58E7" w:rsidP="00BA58E7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30-25</w:t>
            </w:r>
          </w:p>
        </w:tc>
        <w:tc>
          <w:tcPr>
            <w:tcW w:w="2334" w:type="dxa"/>
            <w:vMerge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30" w:type="dxa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41.8</w:t>
            </w:r>
          </w:p>
        </w:tc>
      </w:tr>
      <w:tr w:rsidR="00BA58E7" w:rsidRPr="00CC653A" w:rsidTr="00CC653A">
        <w:trPr>
          <w:trHeight w:val="55"/>
        </w:trPr>
        <w:tc>
          <w:tcPr>
            <w:tcW w:w="5250" w:type="dxa"/>
            <w:hideMark/>
          </w:tcPr>
          <w:p w:rsidR="00BA58E7" w:rsidRPr="00CC653A" w:rsidRDefault="00BA58E7" w:rsidP="00BA58E7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30-13 (1,3), 30-29 (3), 30-44 (5), 30-60</w:t>
            </w:r>
          </w:p>
        </w:tc>
        <w:tc>
          <w:tcPr>
            <w:tcW w:w="2334" w:type="dxa"/>
            <w:vMerge w:val="restart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2330" w:type="dxa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BA58E7" w:rsidRPr="00CC653A" w:rsidTr="00CC653A">
        <w:trPr>
          <w:trHeight w:val="55"/>
        </w:trPr>
        <w:tc>
          <w:tcPr>
            <w:tcW w:w="5250" w:type="dxa"/>
            <w:hideMark/>
          </w:tcPr>
          <w:p w:rsidR="00BA58E7" w:rsidRPr="00CC653A" w:rsidRDefault="00BA58E7" w:rsidP="00BA58E7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30-21</w:t>
            </w:r>
          </w:p>
        </w:tc>
        <w:tc>
          <w:tcPr>
            <w:tcW w:w="2334" w:type="dxa"/>
            <w:vMerge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30" w:type="dxa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64.6</w:t>
            </w:r>
          </w:p>
        </w:tc>
      </w:tr>
      <w:tr w:rsidR="00BA58E7" w:rsidRPr="00CC653A" w:rsidTr="00CC653A">
        <w:trPr>
          <w:trHeight w:val="55"/>
        </w:trPr>
        <w:tc>
          <w:tcPr>
            <w:tcW w:w="5250" w:type="dxa"/>
            <w:hideMark/>
          </w:tcPr>
          <w:p w:rsidR="00BA58E7" w:rsidRPr="00CC653A" w:rsidRDefault="00BA58E7" w:rsidP="00BA58E7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30-10, 30-30 (2), 30-44 (3,4), 30-90 (1)</w:t>
            </w:r>
          </w:p>
        </w:tc>
        <w:tc>
          <w:tcPr>
            <w:tcW w:w="2334" w:type="dxa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2330" w:type="dxa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BA58E7" w:rsidRPr="00CC653A" w:rsidTr="00CC653A">
        <w:trPr>
          <w:trHeight w:val="116"/>
        </w:trPr>
        <w:tc>
          <w:tcPr>
            <w:tcW w:w="5250" w:type="dxa"/>
            <w:hideMark/>
          </w:tcPr>
          <w:p w:rsidR="00BA58E7" w:rsidRPr="00CC653A" w:rsidRDefault="00BA58E7" w:rsidP="00BA58E7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30-24 (1)</w:t>
            </w:r>
          </w:p>
        </w:tc>
        <w:tc>
          <w:tcPr>
            <w:tcW w:w="2334" w:type="dxa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8.2</w:t>
            </w:r>
          </w:p>
        </w:tc>
        <w:tc>
          <w:tcPr>
            <w:tcW w:w="2330" w:type="dxa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BA58E7" w:rsidRPr="00CC653A" w:rsidTr="00CC653A">
        <w:trPr>
          <w:trHeight w:val="120"/>
        </w:trPr>
        <w:tc>
          <w:tcPr>
            <w:tcW w:w="5250" w:type="dxa"/>
            <w:hideMark/>
          </w:tcPr>
          <w:p w:rsidR="00BA58E7" w:rsidRPr="00CC653A" w:rsidRDefault="00BA58E7" w:rsidP="00BA58E7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30-33, 30-81</w:t>
            </w:r>
          </w:p>
        </w:tc>
        <w:tc>
          <w:tcPr>
            <w:tcW w:w="2334" w:type="dxa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9.5</w:t>
            </w:r>
          </w:p>
        </w:tc>
        <w:tc>
          <w:tcPr>
            <w:tcW w:w="2330" w:type="dxa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41.8</w:t>
            </w:r>
          </w:p>
        </w:tc>
      </w:tr>
    </w:tbl>
    <w:p w:rsidR="00C85CC4" w:rsidRPr="00CC653A" w:rsidRDefault="00C85CC4">
      <w:pPr>
        <w:pStyle w:val="underpoint"/>
      </w:pPr>
    </w:p>
    <w:p w:rsidR="006B5019" w:rsidRPr="00CC653A" w:rsidRDefault="006B5019" w:rsidP="006B5019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53A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Таблица 5 – </w:t>
      </w:r>
      <w:r w:rsidR="00CC653A" w:rsidRPr="00CC653A">
        <w:rPr>
          <w:rFonts w:ascii="Times New Roman" w:hAnsi="Times New Roman" w:cs="Times New Roman"/>
          <w:b/>
          <w:sz w:val="24"/>
          <w:szCs w:val="24"/>
        </w:rPr>
        <w:t>Нормы затрат на вспомогательные материалы и транспортные расходы (включая затраты на хранение) по доставке вспомогательных материалов</w:t>
      </w:r>
    </w:p>
    <w:tbl>
      <w:tblPr>
        <w:tblStyle w:val="aa"/>
        <w:tblW w:w="5000" w:type="pct"/>
        <w:tblLayout w:type="fixed"/>
        <w:tblLook w:val="04A0" w:firstRow="1" w:lastRow="0" w:firstColumn="1" w:lastColumn="0" w:noHBand="0" w:noVBand="1"/>
      </w:tblPr>
      <w:tblGrid>
        <w:gridCol w:w="5248"/>
        <w:gridCol w:w="2333"/>
        <w:gridCol w:w="2333"/>
      </w:tblGrid>
      <w:tr w:rsidR="00BA58E7" w:rsidRPr="00CC653A" w:rsidTr="00CC653A">
        <w:trPr>
          <w:trHeight w:val="1155"/>
        </w:trPr>
        <w:tc>
          <w:tcPr>
            <w:tcW w:w="5248" w:type="dxa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bookmarkStart w:id="1" w:name="_Hlk183792895"/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Номера таблиц (норм)</w:t>
            </w:r>
          </w:p>
        </w:tc>
        <w:tc>
          <w:tcPr>
            <w:tcW w:w="2333" w:type="dxa"/>
            <w:shd w:val="clear" w:color="auto" w:fill="auto"/>
            <w:vAlign w:val="center"/>
            <w:hideMark/>
          </w:tcPr>
          <w:p w:rsidR="00BA58E7" w:rsidRPr="00CC653A" w:rsidRDefault="00BA58E7" w:rsidP="00BA58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333" w:type="dxa"/>
            <w:shd w:val="clear" w:color="auto" w:fill="auto"/>
            <w:vAlign w:val="center"/>
            <w:hideMark/>
          </w:tcPr>
          <w:p w:rsidR="00BA58E7" w:rsidRPr="00CC653A" w:rsidRDefault="00BA58E7" w:rsidP="00BA58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% транспортных расходов, включая </w:t>
            </w:r>
            <w:r w:rsidR="00651EE5" w:rsidRPr="00CC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затраты на хранение</w:t>
            </w:r>
            <w:r w:rsidRPr="00CC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от стоимости вспомогательных материалов</w:t>
            </w:r>
          </w:p>
        </w:tc>
      </w:tr>
      <w:tr w:rsidR="00BA58E7" w:rsidRPr="00CC653A" w:rsidTr="00CC653A">
        <w:trPr>
          <w:trHeight w:val="55"/>
        </w:trPr>
        <w:tc>
          <w:tcPr>
            <w:tcW w:w="5248" w:type="dxa"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33" w:type="dxa"/>
            <w:noWrap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33" w:type="dxa"/>
            <w:noWrap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BA58E7" w:rsidRPr="00CC653A" w:rsidTr="00CC653A">
        <w:trPr>
          <w:trHeight w:val="55"/>
        </w:trPr>
        <w:tc>
          <w:tcPr>
            <w:tcW w:w="5248" w:type="dxa"/>
            <w:hideMark/>
          </w:tcPr>
          <w:p w:rsidR="00BA58E7" w:rsidRPr="00CC653A" w:rsidRDefault="00BA58E7" w:rsidP="00BA58E7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30-8</w:t>
            </w:r>
          </w:p>
        </w:tc>
        <w:tc>
          <w:tcPr>
            <w:tcW w:w="2333" w:type="dxa"/>
            <w:vMerge w:val="restart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0.6</w:t>
            </w:r>
          </w:p>
        </w:tc>
        <w:tc>
          <w:tcPr>
            <w:tcW w:w="2333" w:type="dxa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5.6</w:t>
            </w:r>
          </w:p>
        </w:tc>
      </w:tr>
      <w:tr w:rsidR="00BA58E7" w:rsidRPr="00CC653A" w:rsidTr="00CC653A">
        <w:trPr>
          <w:trHeight w:val="633"/>
        </w:trPr>
        <w:tc>
          <w:tcPr>
            <w:tcW w:w="5248" w:type="dxa"/>
            <w:hideMark/>
          </w:tcPr>
          <w:p w:rsidR="00BA58E7" w:rsidRPr="00CC653A" w:rsidRDefault="00BA58E7" w:rsidP="00BA58E7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 xml:space="preserve">30-22 (2), 30-23 (8,10,11,12,13), 30-29, 30-30, 30-34, 30-39, </w:t>
            </w:r>
            <w:r w:rsidR="006E7253" w:rsidRPr="00CC653A">
              <w:rPr>
                <w:rFonts w:eastAsia="Times New Roman"/>
                <w:b/>
                <w:bCs/>
                <w:sz w:val="20"/>
                <w:szCs w:val="20"/>
              </w:rPr>
              <w:br/>
            </w: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30-48 (6), 30-49, 30-51 (1,2,3,4,5,6,7,8,9,10,12), 30-52 (1,2,3), 30-66 (6), 30-67 (6), 30-72 (3,4,5,6), 30-74, 30-76 (1,2,4,5,6,7,8,10,11), 30-80 (2)</w:t>
            </w:r>
          </w:p>
        </w:tc>
        <w:tc>
          <w:tcPr>
            <w:tcW w:w="2333" w:type="dxa"/>
            <w:vMerge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9.7</w:t>
            </w:r>
          </w:p>
        </w:tc>
      </w:tr>
      <w:tr w:rsidR="00BA58E7" w:rsidRPr="00CC653A" w:rsidTr="00CC653A">
        <w:trPr>
          <w:trHeight w:val="55"/>
        </w:trPr>
        <w:tc>
          <w:tcPr>
            <w:tcW w:w="5248" w:type="dxa"/>
            <w:hideMark/>
          </w:tcPr>
          <w:p w:rsidR="00BA58E7" w:rsidRPr="00CC653A" w:rsidRDefault="00BA58E7" w:rsidP="00BA58E7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30-79 (3)</w:t>
            </w:r>
          </w:p>
        </w:tc>
        <w:tc>
          <w:tcPr>
            <w:tcW w:w="2333" w:type="dxa"/>
            <w:vMerge w:val="restart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2333" w:type="dxa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7.5</w:t>
            </w:r>
          </w:p>
        </w:tc>
      </w:tr>
      <w:tr w:rsidR="00BA58E7" w:rsidRPr="00CC653A" w:rsidTr="00CC653A">
        <w:trPr>
          <w:trHeight w:val="74"/>
        </w:trPr>
        <w:tc>
          <w:tcPr>
            <w:tcW w:w="5248" w:type="dxa"/>
            <w:hideMark/>
          </w:tcPr>
          <w:p w:rsidR="00BA58E7" w:rsidRPr="00CC653A" w:rsidRDefault="00BA58E7" w:rsidP="00BA58E7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30-79 (4)</w:t>
            </w:r>
          </w:p>
        </w:tc>
        <w:tc>
          <w:tcPr>
            <w:tcW w:w="2333" w:type="dxa"/>
            <w:vMerge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8.6</w:t>
            </w:r>
          </w:p>
        </w:tc>
      </w:tr>
      <w:tr w:rsidR="00BA58E7" w:rsidRPr="00CC653A" w:rsidTr="00CC653A">
        <w:trPr>
          <w:trHeight w:val="658"/>
        </w:trPr>
        <w:tc>
          <w:tcPr>
            <w:tcW w:w="5248" w:type="dxa"/>
            <w:hideMark/>
          </w:tcPr>
          <w:p w:rsidR="00BA58E7" w:rsidRPr="00CC653A" w:rsidRDefault="00BA58E7" w:rsidP="00BA58E7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 xml:space="preserve">30-15 (1), 30-19 (3,4), 30-22 (1,3), 30-23 (9,17,18), 30-24 (2), </w:t>
            </w:r>
            <w:r w:rsidR="006E7253" w:rsidRPr="00CC653A">
              <w:rPr>
                <w:rFonts w:eastAsia="Times New Roman"/>
                <w:b/>
                <w:bCs/>
                <w:sz w:val="20"/>
                <w:szCs w:val="20"/>
              </w:rPr>
              <w:br/>
            </w: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30-26, 30-27, 30-51 (11), 30-52 (4,5), 30-58 (9,11,12), 30-64 (5,12,13,14), 30-65 (12,13,14), 30-66 (2,3,4,5), 30-67 (2,3,4,5), 30-75 (2), 30-76 (3,9,12), 30-80 (1)</w:t>
            </w:r>
          </w:p>
        </w:tc>
        <w:tc>
          <w:tcPr>
            <w:tcW w:w="2333" w:type="dxa"/>
            <w:vMerge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9.7</w:t>
            </w:r>
          </w:p>
        </w:tc>
      </w:tr>
      <w:tr w:rsidR="00BA58E7" w:rsidRPr="00CC653A" w:rsidTr="00CC653A">
        <w:trPr>
          <w:trHeight w:val="55"/>
        </w:trPr>
        <w:tc>
          <w:tcPr>
            <w:tcW w:w="5248" w:type="dxa"/>
            <w:hideMark/>
          </w:tcPr>
          <w:p w:rsidR="00BA58E7" w:rsidRPr="00CC653A" w:rsidRDefault="00BA58E7" w:rsidP="00BA58E7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30-13 (1,2)</w:t>
            </w:r>
          </w:p>
        </w:tc>
        <w:tc>
          <w:tcPr>
            <w:tcW w:w="2333" w:type="dxa"/>
            <w:vMerge w:val="restart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2.5</w:t>
            </w:r>
          </w:p>
        </w:tc>
        <w:tc>
          <w:tcPr>
            <w:tcW w:w="2333" w:type="dxa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2.7</w:t>
            </w:r>
          </w:p>
        </w:tc>
      </w:tr>
      <w:tr w:rsidR="00BA58E7" w:rsidRPr="00CC653A" w:rsidTr="00CC653A">
        <w:trPr>
          <w:trHeight w:val="1092"/>
        </w:trPr>
        <w:tc>
          <w:tcPr>
            <w:tcW w:w="5248" w:type="dxa"/>
            <w:hideMark/>
          </w:tcPr>
          <w:p w:rsidR="00BA58E7" w:rsidRPr="00CC653A" w:rsidRDefault="00BA58E7" w:rsidP="00BA58E7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 xml:space="preserve">30-11 (2), 30-12 (2), 30-19 (5), 30-24 (1), 30-31 (1), 30-33, </w:t>
            </w:r>
            <w:r w:rsidR="006E7253" w:rsidRPr="00CC653A">
              <w:rPr>
                <w:rFonts w:eastAsia="Times New Roman"/>
                <w:b/>
                <w:bCs/>
                <w:sz w:val="20"/>
                <w:szCs w:val="20"/>
              </w:rPr>
              <w:br/>
            </w: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30-54 (7,9,10,12,13), 30-56 (3,4,5,6,7,8,9,10,11), 30-57 (2,3,6,9,11), 30-58 (2,3,4,5,6,7,8,10), 30-59 (2,3,4,5,6,</w:t>
            </w:r>
            <w:r w:rsidR="006E7253" w:rsidRPr="00CC653A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7,8,9,10,11,12), 30-64 (2,3,4,6,7,8,9,10,11,15,16,17,18), 30-65 (2,3,4,5,6,7,8,9,10,11,15,16,17,18), 30-66 (1,7), 30-67 (1,7), 30-68, 30-69, 30-79 (1,2), 30-81, 30-87 (2), 30-90 (1)</w:t>
            </w:r>
          </w:p>
        </w:tc>
        <w:tc>
          <w:tcPr>
            <w:tcW w:w="2333" w:type="dxa"/>
            <w:vMerge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9.7</w:t>
            </w:r>
          </w:p>
        </w:tc>
      </w:tr>
      <w:tr w:rsidR="00BA58E7" w:rsidRPr="00CC653A" w:rsidTr="00CC653A">
        <w:trPr>
          <w:trHeight w:val="345"/>
        </w:trPr>
        <w:tc>
          <w:tcPr>
            <w:tcW w:w="5248" w:type="dxa"/>
            <w:hideMark/>
          </w:tcPr>
          <w:p w:rsidR="00BA58E7" w:rsidRPr="00CC653A" w:rsidRDefault="00BA58E7" w:rsidP="00BA58E7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30-23 (6,7,15,16), 30-35 (1,2,3), 30-44 (2), 30-48 (5,8), 30-50 (1), 30-54 (5,6,8,11), 30-55 (3), 30-56 (2), 30-57 (4,5,7,8,10), 30-90 (2), 30-91</w:t>
            </w:r>
          </w:p>
        </w:tc>
        <w:tc>
          <w:tcPr>
            <w:tcW w:w="2333" w:type="dxa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3.5</w:t>
            </w:r>
          </w:p>
        </w:tc>
        <w:tc>
          <w:tcPr>
            <w:tcW w:w="2333" w:type="dxa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9.7</w:t>
            </w:r>
          </w:p>
        </w:tc>
      </w:tr>
      <w:tr w:rsidR="00BA58E7" w:rsidRPr="00CC653A" w:rsidTr="00CC653A">
        <w:trPr>
          <w:trHeight w:val="555"/>
        </w:trPr>
        <w:tc>
          <w:tcPr>
            <w:tcW w:w="5248" w:type="dxa"/>
            <w:hideMark/>
          </w:tcPr>
          <w:p w:rsidR="00BA58E7" w:rsidRPr="00CC653A" w:rsidRDefault="00BA58E7" w:rsidP="00BA58E7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30-16 (3), 30-21, 30-23 (14), 30-35 (5), 30-43 (2,4), 30-44 (1), 30-45 (3), 30-50 (2), 30-54 (3,4), 30-55 (4,5,6,7,8,9,10,</w:t>
            </w:r>
            <w:r w:rsidR="00EA48EF" w:rsidRPr="00CC653A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11,12,13), 30-75 (1), 30-86, 30-87 (3), 30-88 (1,2)</w:t>
            </w:r>
          </w:p>
        </w:tc>
        <w:tc>
          <w:tcPr>
            <w:tcW w:w="2333" w:type="dxa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2333" w:type="dxa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9.7</w:t>
            </w:r>
          </w:p>
        </w:tc>
      </w:tr>
      <w:tr w:rsidR="00BA58E7" w:rsidRPr="00CC653A" w:rsidTr="00CC653A">
        <w:trPr>
          <w:trHeight w:val="513"/>
        </w:trPr>
        <w:tc>
          <w:tcPr>
            <w:tcW w:w="5248" w:type="dxa"/>
            <w:hideMark/>
          </w:tcPr>
          <w:p w:rsidR="00BA58E7" w:rsidRPr="00CC653A" w:rsidRDefault="00BA58E7" w:rsidP="00BA58E7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30-11 (1), 30-14 (1,3), 30-19 (2), 30-20 (2), 30-25, 30-35 (4,6), 30-38 (3), 30-40 (1), 30-44 (5), 30-45 (1,2), 30-48 (7), 30-55 (2), 30-56 (1), 30-57 (1), 30-58 (1), 30-59 (1), 30-87 (1)</w:t>
            </w:r>
          </w:p>
        </w:tc>
        <w:tc>
          <w:tcPr>
            <w:tcW w:w="2333" w:type="dxa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5.4</w:t>
            </w:r>
          </w:p>
        </w:tc>
        <w:tc>
          <w:tcPr>
            <w:tcW w:w="2333" w:type="dxa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9.7</w:t>
            </w:r>
          </w:p>
        </w:tc>
      </w:tr>
      <w:tr w:rsidR="00BA58E7" w:rsidRPr="00CC653A" w:rsidTr="00CC653A">
        <w:trPr>
          <w:trHeight w:val="139"/>
        </w:trPr>
        <w:tc>
          <w:tcPr>
            <w:tcW w:w="5248" w:type="dxa"/>
            <w:hideMark/>
          </w:tcPr>
          <w:p w:rsidR="00BA58E7" w:rsidRPr="00CC653A" w:rsidRDefault="00BA58E7" w:rsidP="00BA58E7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30-12 (1), 30-19 (1), 30-20 (1), 30-23 (1,2,3,4,5), 30-55 (1)</w:t>
            </w:r>
          </w:p>
        </w:tc>
        <w:tc>
          <w:tcPr>
            <w:tcW w:w="2333" w:type="dxa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6.4</w:t>
            </w:r>
          </w:p>
        </w:tc>
        <w:tc>
          <w:tcPr>
            <w:tcW w:w="2333" w:type="dxa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9.7</w:t>
            </w:r>
          </w:p>
        </w:tc>
      </w:tr>
      <w:tr w:rsidR="00BA58E7" w:rsidRPr="00CC653A" w:rsidTr="00CC653A">
        <w:trPr>
          <w:trHeight w:val="55"/>
        </w:trPr>
        <w:tc>
          <w:tcPr>
            <w:tcW w:w="5248" w:type="dxa"/>
            <w:hideMark/>
          </w:tcPr>
          <w:p w:rsidR="00BA58E7" w:rsidRPr="00CC653A" w:rsidRDefault="00BA58E7" w:rsidP="00BA58E7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30-13 (3)</w:t>
            </w:r>
          </w:p>
        </w:tc>
        <w:tc>
          <w:tcPr>
            <w:tcW w:w="2333" w:type="dxa"/>
            <w:vMerge w:val="restart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7.5</w:t>
            </w:r>
          </w:p>
        </w:tc>
        <w:tc>
          <w:tcPr>
            <w:tcW w:w="2333" w:type="dxa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7.3</w:t>
            </w:r>
          </w:p>
        </w:tc>
      </w:tr>
      <w:tr w:rsidR="00BA58E7" w:rsidRPr="00CC653A" w:rsidTr="00CC653A">
        <w:trPr>
          <w:trHeight w:val="55"/>
        </w:trPr>
        <w:tc>
          <w:tcPr>
            <w:tcW w:w="5248" w:type="dxa"/>
            <w:hideMark/>
          </w:tcPr>
          <w:p w:rsidR="00BA58E7" w:rsidRPr="00CC653A" w:rsidRDefault="00BA58E7" w:rsidP="00BA58E7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30-40 (2), 30-43 (3), 30-44 (4), 30-46, 30-47, 30-54 (2)</w:t>
            </w:r>
          </w:p>
        </w:tc>
        <w:tc>
          <w:tcPr>
            <w:tcW w:w="2333" w:type="dxa"/>
            <w:vMerge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9.7</w:t>
            </w:r>
          </w:p>
        </w:tc>
      </w:tr>
      <w:tr w:rsidR="00BA58E7" w:rsidRPr="00CC653A" w:rsidTr="00CC653A">
        <w:trPr>
          <w:trHeight w:val="55"/>
        </w:trPr>
        <w:tc>
          <w:tcPr>
            <w:tcW w:w="5248" w:type="dxa"/>
            <w:hideMark/>
          </w:tcPr>
          <w:p w:rsidR="00BA58E7" w:rsidRPr="00CC653A" w:rsidRDefault="00BA58E7" w:rsidP="00BA58E7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30-13 (4)</w:t>
            </w:r>
          </w:p>
        </w:tc>
        <w:tc>
          <w:tcPr>
            <w:tcW w:w="2333" w:type="dxa"/>
            <w:vMerge w:val="restart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8.6</w:t>
            </w:r>
          </w:p>
        </w:tc>
        <w:tc>
          <w:tcPr>
            <w:tcW w:w="2333" w:type="dxa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7.8</w:t>
            </w:r>
          </w:p>
        </w:tc>
      </w:tr>
      <w:tr w:rsidR="00BA58E7" w:rsidRPr="00CC653A" w:rsidTr="00CC653A">
        <w:trPr>
          <w:trHeight w:val="55"/>
        </w:trPr>
        <w:tc>
          <w:tcPr>
            <w:tcW w:w="5248" w:type="dxa"/>
            <w:hideMark/>
          </w:tcPr>
          <w:p w:rsidR="00BA58E7" w:rsidRPr="00CC653A" w:rsidRDefault="00BA58E7" w:rsidP="00BA58E7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30-43 (1), 30-44 (3), 30-54 (1), 30-61 (1,2), 30-78 (1,3)</w:t>
            </w:r>
          </w:p>
        </w:tc>
        <w:tc>
          <w:tcPr>
            <w:tcW w:w="2333" w:type="dxa"/>
            <w:vMerge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9.7</w:t>
            </w:r>
          </w:p>
        </w:tc>
      </w:tr>
    </w:tbl>
    <w:p w:rsidR="00CC653A" w:rsidRPr="00CC653A" w:rsidRDefault="00CC653A">
      <w:pPr>
        <w:rPr>
          <w:rFonts w:ascii="Times New Roman" w:hAnsi="Times New Roman" w:cs="Times New Roman"/>
          <w:b/>
          <w:sz w:val="24"/>
          <w:szCs w:val="24"/>
        </w:rPr>
      </w:pPr>
      <w:r w:rsidRPr="00CC653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C653A" w:rsidRPr="00CC653A" w:rsidRDefault="00CC653A" w:rsidP="00CC653A">
      <w:pPr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CC653A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lastRenderedPageBreak/>
        <w:t xml:space="preserve">Продолжение таблицы </w:t>
      </w:r>
      <w:r w:rsidRPr="00CC653A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5</w:t>
      </w:r>
    </w:p>
    <w:tbl>
      <w:tblPr>
        <w:tblStyle w:val="aa"/>
        <w:tblW w:w="5000" w:type="pct"/>
        <w:tblLayout w:type="fixed"/>
        <w:tblLook w:val="04A0" w:firstRow="1" w:lastRow="0" w:firstColumn="1" w:lastColumn="0" w:noHBand="0" w:noVBand="1"/>
      </w:tblPr>
      <w:tblGrid>
        <w:gridCol w:w="5248"/>
        <w:gridCol w:w="2333"/>
        <w:gridCol w:w="2333"/>
      </w:tblGrid>
      <w:tr w:rsidR="00CC653A" w:rsidRPr="00CC653A" w:rsidTr="00F4202F">
        <w:trPr>
          <w:trHeight w:val="1155"/>
        </w:trPr>
        <w:tc>
          <w:tcPr>
            <w:tcW w:w="5248" w:type="dxa"/>
            <w:noWrap/>
            <w:vAlign w:val="center"/>
            <w:hideMark/>
          </w:tcPr>
          <w:p w:rsidR="00CC653A" w:rsidRPr="00CC653A" w:rsidRDefault="00CC653A" w:rsidP="00F4202F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Номера таблиц (норм)</w:t>
            </w:r>
          </w:p>
        </w:tc>
        <w:tc>
          <w:tcPr>
            <w:tcW w:w="2333" w:type="dxa"/>
            <w:shd w:val="clear" w:color="auto" w:fill="auto"/>
            <w:vAlign w:val="center"/>
            <w:hideMark/>
          </w:tcPr>
          <w:p w:rsidR="00CC653A" w:rsidRPr="00CC653A" w:rsidRDefault="00CC653A" w:rsidP="00F420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333" w:type="dxa"/>
            <w:shd w:val="clear" w:color="auto" w:fill="auto"/>
            <w:vAlign w:val="center"/>
            <w:hideMark/>
          </w:tcPr>
          <w:p w:rsidR="00CC653A" w:rsidRPr="00CC653A" w:rsidRDefault="00CC653A" w:rsidP="00F420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транспортных расходов, включая затраты на хранение, от стоимости вспомогательных материалов</w:t>
            </w:r>
          </w:p>
        </w:tc>
      </w:tr>
      <w:tr w:rsidR="00CC653A" w:rsidRPr="00CC653A" w:rsidTr="00F4202F">
        <w:trPr>
          <w:trHeight w:val="55"/>
        </w:trPr>
        <w:tc>
          <w:tcPr>
            <w:tcW w:w="5248" w:type="dxa"/>
          </w:tcPr>
          <w:p w:rsidR="00CC653A" w:rsidRPr="00CC653A" w:rsidRDefault="00CC653A" w:rsidP="00F4202F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33" w:type="dxa"/>
            <w:noWrap/>
          </w:tcPr>
          <w:p w:rsidR="00CC653A" w:rsidRPr="00CC653A" w:rsidRDefault="00CC653A" w:rsidP="00F4202F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33" w:type="dxa"/>
            <w:noWrap/>
          </w:tcPr>
          <w:p w:rsidR="00CC653A" w:rsidRPr="00CC653A" w:rsidRDefault="00CC653A" w:rsidP="00F4202F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BA58E7" w:rsidRPr="00CC653A" w:rsidTr="00CC653A">
        <w:trPr>
          <w:trHeight w:val="55"/>
        </w:trPr>
        <w:tc>
          <w:tcPr>
            <w:tcW w:w="5248" w:type="dxa"/>
            <w:hideMark/>
          </w:tcPr>
          <w:p w:rsidR="00BA58E7" w:rsidRPr="00CC653A" w:rsidRDefault="00BA58E7" w:rsidP="00BA58E7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30-14 (2)</w:t>
            </w:r>
          </w:p>
        </w:tc>
        <w:tc>
          <w:tcPr>
            <w:tcW w:w="2333" w:type="dxa"/>
            <w:vMerge w:val="restart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9.4</w:t>
            </w:r>
          </w:p>
        </w:tc>
        <w:tc>
          <w:tcPr>
            <w:tcW w:w="2333" w:type="dxa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8.8</w:t>
            </w:r>
          </w:p>
        </w:tc>
      </w:tr>
      <w:tr w:rsidR="00BA58E7" w:rsidRPr="00CC653A" w:rsidTr="00CC653A">
        <w:trPr>
          <w:trHeight w:val="55"/>
        </w:trPr>
        <w:tc>
          <w:tcPr>
            <w:tcW w:w="5248" w:type="dxa"/>
            <w:hideMark/>
          </w:tcPr>
          <w:p w:rsidR="00BA58E7" w:rsidRPr="00CC653A" w:rsidRDefault="00BA58E7" w:rsidP="00BA58E7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30-36 (3), 30-61 (3), 30-78 (4)</w:t>
            </w:r>
          </w:p>
        </w:tc>
        <w:tc>
          <w:tcPr>
            <w:tcW w:w="2333" w:type="dxa"/>
            <w:vMerge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  <w:noWrap/>
            <w:vAlign w:val="center"/>
            <w:hideMark/>
          </w:tcPr>
          <w:p w:rsidR="00BA58E7" w:rsidRPr="00CC653A" w:rsidRDefault="00BA58E7" w:rsidP="00BA58E7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C653A">
              <w:rPr>
                <w:rFonts w:eastAsia="Times New Roman"/>
                <w:b/>
                <w:bCs/>
                <w:sz w:val="20"/>
                <w:szCs w:val="20"/>
              </w:rPr>
              <w:t>9.6</w:t>
            </w:r>
          </w:p>
        </w:tc>
      </w:tr>
    </w:tbl>
    <w:bookmarkEnd w:id="1"/>
    <w:p w:rsidR="00811859" w:rsidRPr="00CC653A" w:rsidRDefault="00CC653A" w:rsidP="006D7FC3">
      <w:pPr>
        <w:pStyle w:val="numheader"/>
        <w:spacing w:before="120" w:after="0"/>
        <w:ind w:firstLine="567"/>
        <w:jc w:val="both"/>
        <w:rPr>
          <w:bCs w:val="0"/>
        </w:rPr>
      </w:pPr>
      <w:r w:rsidRPr="00CC653A">
        <w:rPr>
          <w:bCs w:val="0"/>
        </w:rPr>
        <w:t xml:space="preserve">Затраты на эксплуатацию вспомогательных машин и механизмов учитывают затраты на эксплуатацию следующих машин и механизмов (за исключением нормативов, в которых они учтены в составе нормативов расхода ресурсов в натуральном выражении): </w:t>
      </w:r>
      <w:r w:rsidR="006D7FC3" w:rsidRPr="00CC653A">
        <w:rPr>
          <w:bCs w:val="0"/>
        </w:rPr>
        <w:t>автоматы сварочные, агрегаты электронасосные, аппарат для газовой сварки и резки</w:t>
      </w:r>
      <w:r w:rsidR="00CE0753" w:rsidRPr="00CC653A">
        <w:rPr>
          <w:bCs w:val="0"/>
        </w:rPr>
        <w:t xml:space="preserve">, </w:t>
      </w:r>
      <w:r w:rsidR="006D7FC3" w:rsidRPr="00CC653A">
        <w:rPr>
          <w:bCs w:val="0"/>
        </w:rPr>
        <w:t>бульдозеры</w:t>
      </w:r>
      <w:r w:rsidR="00CE0753" w:rsidRPr="00CC653A">
        <w:rPr>
          <w:bCs w:val="0"/>
        </w:rPr>
        <w:t xml:space="preserve">, </w:t>
      </w:r>
      <w:r w:rsidR="006D7FC3" w:rsidRPr="00CC653A">
        <w:rPr>
          <w:bCs w:val="0"/>
        </w:rPr>
        <w:t>вибраторы</w:t>
      </w:r>
      <w:r w:rsidR="00CE0753" w:rsidRPr="00CC653A">
        <w:rPr>
          <w:bCs w:val="0"/>
        </w:rPr>
        <w:t xml:space="preserve">, </w:t>
      </w:r>
      <w:r w:rsidR="006D7FC3" w:rsidRPr="00CC653A">
        <w:rPr>
          <w:bCs w:val="0"/>
        </w:rPr>
        <w:t>компрессоры передвижные</w:t>
      </w:r>
      <w:r w:rsidR="00CE0753" w:rsidRPr="00CC653A">
        <w:rPr>
          <w:bCs w:val="0"/>
        </w:rPr>
        <w:t xml:space="preserve">, </w:t>
      </w:r>
      <w:r w:rsidR="006D7FC3" w:rsidRPr="00CC653A">
        <w:rPr>
          <w:bCs w:val="0"/>
        </w:rPr>
        <w:t>лебедки</w:t>
      </w:r>
      <w:r w:rsidR="00CE0753" w:rsidRPr="00CC653A">
        <w:rPr>
          <w:bCs w:val="0"/>
        </w:rPr>
        <w:t xml:space="preserve">, </w:t>
      </w:r>
      <w:r w:rsidR="006D7FC3" w:rsidRPr="00CC653A">
        <w:rPr>
          <w:bCs w:val="0"/>
        </w:rPr>
        <w:t>машины сверлильные</w:t>
      </w:r>
      <w:r w:rsidR="00CE0753" w:rsidRPr="00CC653A">
        <w:rPr>
          <w:bCs w:val="0"/>
        </w:rPr>
        <w:t xml:space="preserve">, </w:t>
      </w:r>
      <w:r w:rsidR="006D7FC3" w:rsidRPr="00CC653A">
        <w:rPr>
          <w:bCs w:val="0"/>
        </w:rPr>
        <w:t>молотки</w:t>
      </w:r>
      <w:r w:rsidR="00CE0753" w:rsidRPr="00CC653A">
        <w:rPr>
          <w:bCs w:val="0"/>
        </w:rPr>
        <w:t xml:space="preserve">, </w:t>
      </w:r>
      <w:r w:rsidR="006D7FC3" w:rsidRPr="00CC653A">
        <w:rPr>
          <w:bCs w:val="0"/>
        </w:rPr>
        <w:t>насосы</w:t>
      </w:r>
      <w:r w:rsidR="00CE0753" w:rsidRPr="00CC653A">
        <w:rPr>
          <w:bCs w:val="0"/>
        </w:rPr>
        <w:t xml:space="preserve">, </w:t>
      </w:r>
      <w:r w:rsidR="006D7FC3" w:rsidRPr="00CC653A">
        <w:rPr>
          <w:bCs w:val="0"/>
        </w:rPr>
        <w:t>пилы</w:t>
      </w:r>
      <w:r w:rsidR="00CE0753" w:rsidRPr="00CC653A">
        <w:rPr>
          <w:bCs w:val="0"/>
        </w:rPr>
        <w:t xml:space="preserve">, </w:t>
      </w:r>
      <w:r w:rsidR="006D7FC3" w:rsidRPr="00CC653A">
        <w:rPr>
          <w:bCs w:val="0"/>
        </w:rPr>
        <w:t>средства малой механизации</w:t>
      </w:r>
      <w:r w:rsidR="00CE0753" w:rsidRPr="00CC653A">
        <w:rPr>
          <w:bCs w:val="0"/>
        </w:rPr>
        <w:t xml:space="preserve">, </w:t>
      </w:r>
      <w:r w:rsidR="006D7FC3" w:rsidRPr="00CC653A">
        <w:rPr>
          <w:bCs w:val="0"/>
        </w:rPr>
        <w:t>станки</w:t>
      </w:r>
      <w:r w:rsidR="00CE0753" w:rsidRPr="00CC653A">
        <w:rPr>
          <w:bCs w:val="0"/>
        </w:rPr>
        <w:t xml:space="preserve">, </w:t>
      </w:r>
      <w:r w:rsidR="006D7FC3" w:rsidRPr="00CC653A">
        <w:rPr>
          <w:bCs w:val="0"/>
        </w:rPr>
        <w:t>установки для сварки</w:t>
      </w:r>
      <w:r w:rsidR="00CE0753" w:rsidRPr="00CC653A">
        <w:rPr>
          <w:bCs w:val="0"/>
        </w:rPr>
        <w:t xml:space="preserve">, </w:t>
      </w:r>
      <w:r w:rsidR="006D7FC3" w:rsidRPr="00CC653A">
        <w:rPr>
          <w:bCs w:val="0"/>
        </w:rPr>
        <w:t xml:space="preserve">электрические печи для сушки сварочных материалов </w:t>
      </w:r>
      <w:r w:rsidR="00811859" w:rsidRPr="00CC653A">
        <w:rPr>
          <w:bCs w:val="0"/>
        </w:rPr>
        <w:t>и др.</w:t>
      </w:r>
    </w:p>
    <w:p w:rsidR="00811859" w:rsidRPr="00CC653A" w:rsidRDefault="00CC653A" w:rsidP="00CC653A">
      <w:pPr>
        <w:pStyle w:val="numheader"/>
        <w:spacing w:before="0" w:after="0"/>
        <w:ind w:firstLine="567"/>
        <w:jc w:val="both"/>
        <w:rPr>
          <w:bCs w:val="0"/>
        </w:rPr>
      </w:pPr>
      <w:bookmarkStart w:id="2" w:name="_Hlk183792908"/>
      <w:r w:rsidRPr="00CC653A">
        <w:rPr>
          <w:bCs w:val="0"/>
        </w:rPr>
        <w:t>Затраты на вспомогательные материалы учитывают затраты</w:t>
      </w:r>
      <w:bookmarkEnd w:id="2"/>
      <w:r w:rsidRPr="00CC653A">
        <w:rPr>
          <w:bCs w:val="0"/>
        </w:rPr>
        <w:t xml:space="preserve"> на следующие материалы (за исключением нормативов, в которых они учтены</w:t>
      </w:r>
      <w:bookmarkStart w:id="3" w:name="_Hlk182900180"/>
      <w:r w:rsidRPr="00CC653A">
        <w:rPr>
          <w:bCs w:val="0"/>
        </w:rPr>
        <w:t xml:space="preserve"> в составе нормативов расхода ресурсов в натуральном выражении и (или) предусмотрены, как материалы по проекту</w:t>
      </w:r>
      <w:bookmarkEnd w:id="3"/>
      <w:r w:rsidRPr="00CC653A">
        <w:rPr>
          <w:bCs w:val="0"/>
        </w:rPr>
        <w:t>):</w:t>
      </w:r>
      <w:r w:rsidRPr="00CC653A">
        <w:rPr>
          <w:bCs w:val="0"/>
        </w:rPr>
        <w:t xml:space="preserve"> </w:t>
      </w:r>
      <w:r w:rsidR="00891F17" w:rsidRPr="00CC653A">
        <w:rPr>
          <w:bCs w:val="0"/>
        </w:rPr>
        <w:t xml:space="preserve">антисептик, асбест </w:t>
      </w:r>
      <w:proofErr w:type="spellStart"/>
      <w:r w:rsidR="00891F17" w:rsidRPr="00CC653A">
        <w:rPr>
          <w:bCs w:val="0"/>
        </w:rPr>
        <w:t>хризотиловый</w:t>
      </w:r>
      <w:proofErr w:type="spellEnd"/>
      <w:r w:rsidR="00891F17" w:rsidRPr="00CC653A">
        <w:rPr>
          <w:bCs w:val="0"/>
        </w:rPr>
        <w:t xml:space="preserve">, ацетилен растворенный, бензин, битумы нефтяные, болты, бруски, брусья, ветошь, вода, гвозди, графит кристаллический, </w:t>
      </w:r>
      <w:proofErr w:type="spellStart"/>
      <w:r w:rsidR="00891F17" w:rsidRPr="00CC653A">
        <w:rPr>
          <w:bCs w:val="0"/>
        </w:rPr>
        <w:t>дибутилфталат</w:t>
      </w:r>
      <w:proofErr w:type="spellEnd"/>
      <w:r w:rsidR="00891F17" w:rsidRPr="00CC653A">
        <w:rPr>
          <w:bCs w:val="0"/>
        </w:rPr>
        <w:t xml:space="preserve"> технический, доски, заклепки, кислород технический, краска, лесоматериалы круглые, масло дизельное, олифа, пергамин, проволока стальная, растворитель, растворы, рубероид, скобы, спирт, ткань мешочная, топливо дизельное, шурупы, электроды</w:t>
      </w:r>
      <w:r w:rsidR="00811859" w:rsidRPr="00CC653A">
        <w:rPr>
          <w:bCs w:val="0"/>
        </w:rPr>
        <w:t xml:space="preserve"> и др.</w:t>
      </w:r>
    </w:p>
    <w:p w:rsidR="001E77AB" w:rsidRPr="00CC653A" w:rsidRDefault="001E77AB" w:rsidP="008F2EFC">
      <w:pPr>
        <w:pStyle w:val="numheader"/>
        <w:spacing w:before="600"/>
        <w:rPr>
          <w:sz w:val="28"/>
          <w:szCs w:val="28"/>
        </w:rPr>
      </w:pPr>
      <w:r w:rsidRPr="00CC653A">
        <w:rPr>
          <w:sz w:val="28"/>
          <w:szCs w:val="28"/>
        </w:rPr>
        <w:t>2. ПРАВИЛА ОПРЕДЕЛЕНИЯ ОБЪЕМОВ РАБОТ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>2.1. Объемы работ должны определяться по проектной документации объекта строительства с учетом установленных требований к организации и производству строительно-монтажных работ.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>2.2. Объемы работ и расходы по водоотливу из котлованов и ограждений следует исчислять в порядке, установленном в Технической части Сборника 1 «Земляные работы».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>2.3. При отсутствии данных о массе стальных конструкций мостов по чертежам марки КМД, разработанным заводом-изготовителем, она определяется по чертежам марки КМ, разработанным проектной организацией, с увеличением на 3 %.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 xml:space="preserve">2.4. Объемы работ по сборке анкерного пролетного строения на сплошных подмостях или на насыпи, а также объем работ по сборке и разборке противовеса вне моста следует </w:t>
      </w:r>
      <w:proofErr w:type="gramStart"/>
      <w:r w:rsidRPr="00CC653A">
        <w:rPr>
          <w:b/>
        </w:rPr>
        <w:t>учитывать</w:t>
      </w:r>
      <w:proofErr w:type="gramEnd"/>
      <w:r w:rsidRPr="00CC653A">
        <w:rPr>
          <w:b/>
        </w:rPr>
        <w:t xml:space="preserve"> как объем работ по монтажу пролетных строений навесным и полунавесным способом. При этом дополнительно следует учитывать 2,5 % объема конструкций противовеса на покрытие неизбежных потерь при сборке и разборке.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>2.5. Объем работ по сооружению деревянных мостов, ледорезов, устройству подмостей, пирсов и др. следует исчислять по проектному объему лесоматериалов в деле.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t>2.6. Объем работ по сборке стальных пролетных строений следует исчислять с учетом массы стальных опорных частей и соединительных элементов.</w:t>
      </w:r>
    </w:p>
    <w:p w:rsidR="001E77AB" w:rsidRPr="00CC653A" w:rsidRDefault="001E77AB">
      <w:pPr>
        <w:pStyle w:val="newncpi"/>
        <w:rPr>
          <w:b/>
        </w:rPr>
      </w:pPr>
      <w:r w:rsidRPr="00CC653A">
        <w:rPr>
          <w:b/>
        </w:rPr>
        <w:t>Дополнительно следует учитывать расход высокопрочных болтов в объеме, предусмотренном проектной документацией объекта строительства.</w:t>
      </w:r>
    </w:p>
    <w:p w:rsidR="001E77AB" w:rsidRPr="00CC653A" w:rsidRDefault="001E77AB">
      <w:pPr>
        <w:pStyle w:val="underpoint"/>
        <w:rPr>
          <w:b/>
        </w:rPr>
      </w:pPr>
      <w:r w:rsidRPr="00CC653A">
        <w:rPr>
          <w:b/>
        </w:rPr>
        <w:lastRenderedPageBreak/>
        <w:t xml:space="preserve">2.7. Измеритель массы 1 т подмостей в </w:t>
      </w:r>
      <w:r w:rsidR="00903008" w:rsidRPr="00CC653A">
        <w:rPr>
          <w:b/>
        </w:rPr>
        <w:t>Т</w:t>
      </w:r>
      <w:r w:rsidRPr="00CC653A">
        <w:rPr>
          <w:b/>
        </w:rPr>
        <w:t xml:space="preserve">аблице 30-31 содержит блоки подмостей, накладки, упорные уголки, раскосы, прокладки, рабочий мостик, каретки четырех-рольные </w:t>
      </w:r>
      <w:proofErr w:type="spellStart"/>
      <w:r w:rsidRPr="00CC653A">
        <w:rPr>
          <w:b/>
        </w:rPr>
        <w:t>накаточные</w:t>
      </w:r>
      <w:proofErr w:type="spellEnd"/>
      <w:r w:rsidRPr="00CC653A">
        <w:rPr>
          <w:b/>
        </w:rPr>
        <w:t>, пути передвижки блоков ПРК, болты черные.</w:t>
      </w:r>
    </w:p>
    <w:p w:rsidR="001E77AB" w:rsidRPr="00CC653A" w:rsidRDefault="001E77AB">
      <w:pPr>
        <w:pStyle w:val="newncpi"/>
        <w:rPr>
          <w:b/>
        </w:rPr>
      </w:pPr>
      <w:r w:rsidRPr="00CC653A">
        <w:rPr>
          <w:b/>
        </w:rPr>
        <w:t>Расход высокопрочных болтов учитывается в объеме, предусмотренном проектной документацией объекта строительства.</w:t>
      </w:r>
    </w:p>
    <w:p w:rsidR="00CC653A" w:rsidRPr="00CC653A" w:rsidRDefault="00CC653A">
      <w:pPr>
        <w:pStyle w:val="numheader"/>
        <w:rPr>
          <w:sz w:val="28"/>
          <w:szCs w:val="28"/>
        </w:rPr>
      </w:pPr>
    </w:p>
    <w:p w:rsidR="001E77AB" w:rsidRPr="00CC653A" w:rsidRDefault="001E77AB">
      <w:pPr>
        <w:pStyle w:val="numheader"/>
        <w:rPr>
          <w:sz w:val="28"/>
          <w:szCs w:val="28"/>
        </w:rPr>
      </w:pPr>
      <w:r w:rsidRPr="00CC653A">
        <w:rPr>
          <w:sz w:val="28"/>
          <w:szCs w:val="28"/>
        </w:rPr>
        <w:t>3. КОЭФФИЦИЕНТЫ К НОРМАТИВАМ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5"/>
        <w:gridCol w:w="793"/>
        <w:gridCol w:w="1301"/>
        <w:gridCol w:w="2169"/>
        <w:gridCol w:w="2046"/>
      </w:tblGrid>
      <w:tr w:rsidR="001E77AB" w:rsidRPr="00CC653A">
        <w:trPr>
          <w:trHeight w:val="240"/>
        </w:trPr>
        <w:tc>
          <w:tcPr>
            <w:tcW w:w="1818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Условия применения</w:t>
            </w:r>
          </w:p>
        </w:tc>
        <w:tc>
          <w:tcPr>
            <w:tcW w:w="40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Номера таблиц (норм)</w:t>
            </w:r>
          </w:p>
        </w:tc>
        <w:tc>
          <w:tcPr>
            <w:tcW w:w="2782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Коэффициенты к</w:t>
            </w:r>
          </w:p>
        </w:tc>
      </w:tr>
      <w:tr w:rsidR="001E77AB" w:rsidRPr="00CC653A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нормам затрат труда рабочих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нормам затрат труда машинистов и нормам времени эксплуатации машин и механизмов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нормам расхода материалов, изделий и конструкций</w:t>
            </w:r>
          </w:p>
        </w:tc>
      </w:tr>
      <w:tr w:rsidR="009156A7" w:rsidRPr="00CC653A" w:rsidTr="009156A7">
        <w:trPr>
          <w:trHeight w:hRule="exact" w:val="227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156A7" w:rsidRPr="00CC653A" w:rsidRDefault="009156A7" w:rsidP="009156A7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CC653A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A7" w:rsidRPr="00CC653A" w:rsidRDefault="009156A7" w:rsidP="009156A7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CC653A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156A7" w:rsidRPr="00CC653A" w:rsidRDefault="009156A7" w:rsidP="009156A7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3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156A7" w:rsidRPr="00CC653A" w:rsidRDefault="009156A7" w:rsidP="009156A7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4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156A7" w:rsidRPr="00CC653A" w:rsidRDefault="009156A7" w:rsidP="009156A7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5</w:t>
            </w:r>
          </w:p>
        </w:tc>
      </w:tr>
      <w:tr w:rsidR="001E77AB" w:rsidRPr="00CC653A">
        <w:trPr>
          <w:trHeight w:val="240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rPr>
                <w:b/>
              </w:rPr>
            </w:pPr>
            <w:r w:rsidRPr="00CC653A">
              <w:rPr>
                <w:b/>
              </w:rPr>
              <w:t>3.1. Выполнение работ в условиях движения поездов: число поездов, проходящих в 1 сутки от 14 до 36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–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1,15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1,15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1</w:t>
            </w:r>
          </w:p>
        </w:tc>
      </w:tr>
      <w:tr w:rsidR="001E77AB" w:rsidRPr="00CC653A">
        <w:trPr>
          <w:trHeight w:val="240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rPr>
                <w:b/>
              </w:rPr>
            </w:pPr>
            <w:r w:rsidRPr="00CC653A">
              <w:rPr>
                <w:b/>
              </w:rPr>
              <w:t>3.2. Выполнение работ в условиях движения поездов: число поездов, проходящих в 1 сутки от 37 до 72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–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1,4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1,4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1</w:t>
            </w:r>
          </w:p>
        </w:tc>
      </w:tr>
      <w:tr w:rsidR="001E77AB" w:rsidRPr="00CC653A">
        <w:trPr>
          <w:trHeight w:val="240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rPr>
                <w:b/>
              </w:rPr>
            </w:pPr>
            <w:r w:rsidRPr="00CC653A">
              <w:rPr>
                <w:b/>
              </w:rPr>
              <w:t>3.3. Выполнение работ в условиях движения поездов: число поездов, проходящих в 1 сутки от 73 до 112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–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1,7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1,7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1</w:t>
            </w:r>
          </w:p>
        </w:tc>
      </w:tr>
      <w:tr w:rsidR="001E77AB" w:rsidRPr="00CC653A">
        <w:trPr>
          <w:trHeight w:val="240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rPr>
                <w:b/>
              </w:rPr>
            </w:pPr>
            <w:r w:rsidRPr="00CC653A">
              <w:rPr>
                <w:b/>
              </w:rPr>
              <w:t>3.4. Выполнение работ в условиях движения поездов: число поездов, проходящих в 1 сутки от 113 до 140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–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2,0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2,0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1</w:t>
            </w:r>
          </w:p>
        </w:tc>
      </w:tr>
      <w:tr w:rsidR="001E77AB" w:rsidRPr="00CC653A">
        <w:trPr>
          <w:trHeight w:val="240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rPr>
                <w:b/>
              </w:rPr>
            </w:pPr>
            <w:r w:rsidRPr="00CC653A">
              <w:rPr>
                <w:b/>
              </w:rPr>
              <w:t>3.5. Выполнение работ в условиях движения поездов: число поездов, проходящих в 1 сутки более 140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–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2,3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2,3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1</w:t>
            </w:r>
          </w:p>
        </w:tc>
      </w:tr>
      <w:tr w:rsidR="001E77AB" w:rsidRPr="00CC653A">
        <w:trPr>
          <w:trHeight w:val="240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rPr>
                <w:b/>
              </w:rPr>
            </w:pPr>
            <w:r w:rsidRPr="00CC653A">
              <w:rPr>
                <w:b/>
              </w:rPr>
              <w:t>3.6. Работы, выполняемые на железнодорожном пути при временно закрытом перегоне в «окно» установленной продолжительности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–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2,0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2,0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1</w:t>
            </w:r>
          </w:p>
        </w:tc>
      </w:tr>
      <w:tr w:rsidR="001E77AB" w:rsidRPr="00CC653A">
        <w:trPr>
          <w:trHeight w:val="240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rPr>
                <w:b/>
              </w:rPr>
            </w:pPr>
            <w:r w:rsidRPr="00CC653A">
              <w:rPr>
                <w:b/>
              </w:rPr>
              <w:t>3.7. При монтаже конструкций на высоте более 25 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–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1,1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1,1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1</w:t>
            </w:r>
          </w:p>
        </w:tc>
      </w:tr>
      <w:tr w:rsidR="001E77AB" w:rsidRPr="00CC653A">
        <w:trPr>
          <w:trHeight w:val="240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rPr>
                <w:b/>
              </w:rPr>
            </w:pPr>
            <w:r w:rsidRPr="00CC653A">
              <w:rPr>
                <w:b/>
              </w:rPr>
              <w:t>3.8. При многоочковых водопропускных трубах из гофрированного металла двухочковых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30–61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2,0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2,0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2</w:t>
            </w:r>
          </w:p>
        </w:tc>
      </w:tr>
      <w:tr w:rsidR="001E77AB" w:rsidRPr="00CC653A">
        <w:trPr>
          <w:trHeight w:val="240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rPr>
                <w:b/>
              </w:rPr>
            </w:pPr>
            <w:r w:rsidRPr="00CC653A">
              <w:rPr>
                <w:b/>
              </w:rPr>
              <w:t>3.9. При многоочковых водопропускных трубах из гофрированного металла трехочковых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30–61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3,0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3,0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3</w:t>
            </w:r>
          </w:p>
        </w:tc>
      </w:tr>
      <w:tr w:rsidR="001E77AB" w:rsidRPr="00CC653A">
        <w:trPr>
          <w:trHeight w:val="240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rPr>
                <w:b/>
              </w:rPr>
            </w:pPr>
            <w:r w:rsidRPr="00CC653A">
              <w:rPr>
                <w:b/>
              </w:rPr>
              <w:t>3.10. Увеличение расхода материалов при приготовлении бетона в построечных условиях для подводного бетонирования цемента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30–85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–</w:t>
            </w:r>
          </w:p>
        </w:tc>
        <w:tc>
          <w:tcPr>
            <w:tcW w:w="10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–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1,25</w:t>
            </w:r>
          </w:p>
        </w:tc>
      </w:tr>
      <w:tr w:rsidR="001E77AB" w:rsidRPr="00CC653A">
        <w:trPr>
          <w:trHeight w:val="240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rPr>
                <w:b/>
              </w:rPr>
            </w:pPr>
            <w:r w:rsidRPr="00CC653A">
              <w:rPr>
                <w:b/>
              </w:rPr>
              <w:t>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AB" w:rsidRPr="00CC653A" w:rsidRDefault="001E77A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1,15</w:t>
            </w:r>
          </w:p>
        </w:tc>
      </w:tr>
      <w:tr w:rsidR="001E77AB" w:rsidRPr="008F2EFC">
        <w:trPr>
          <w:trHeight w:val="240"/>
        </w:trPr>
        <w:tc>
          <w:tcPr>
            <w:tcW w:w="18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rPr>
                <w:b/>
              </w:rPr>
            </w:pPr>
            <w:r w:rsidRPr="00CC653A">
              <w:rPr>
                <w:b/>
              </w:rPr>
              <w:t>3.11. При подъеме или опускании одного конца пролетного строения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30–46</w:t>
            </w:r>
            <w:r w:rsidRPr="00CC653A">
              <w:rPr>
                <w:b/>
              </w:rPr>
              <w:br/>
              <w:t>30–47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0,5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CC653A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0,5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7AB" w:rsidRPr="008F2EFC" w:rsidRDefault="001E77AB">
            <w:pPr>
              <w:pStyle w:val="table10"/>
              <w:jc w:val="center"/>
              <w:rPr>
                <w:b/>
              </w:rPr>
            </w:pPr>
            <w:r w:rsidRPr="00CC653A">
              <w:rPr>
                <w:b/>
              </w:rPr>
              <w:t>0,5</w:t>
            </w:r>
            <w:bookmarkStart w:id="4" w:name="_GoBack"/>
            <w:bookmarkEnd w:id="4"/>
          </w:p>
        </w:tc>
      </w:tr>
    </w:tbl>
    <w:p w:rsidR="001E77AB" w:rsidRDefault="001E77AB">
      <w:pPr>
        <w:pStyle w:val="newncpi"/>
      </w:pPr>
      <w:r>
        <w:t> </w:t>
      </w:r>
    </w:p>
    <w:p w:rsidR="00DC2191" w:rsidRPr="00DC2191" w:rsidRDefault="00DC2191" w:rsidP="00DC2191">
      <w:pPr>
        <w:tabs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b/>
          <w:sz w:val="2"/>
          <w:szCs w:val="24"/>
          <w:lang w:eastAsia="ru-RU"/>
        </w:rPr>
      </w:pPr>
    </w:p>
    <w:p w:rsidR="00DC2191" w:rsidRPr="00DC2191" w:rsidRDefault="00DC2191" w:rsidP="00DC2191">
      <w:pPr>
        <w:tabs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b/>
          <w:sz w:val="2"/>
          <w:szCs w:val="24"/>
          <w:lang w:eastAsia="ru-RU"/>
        </w:rPr>
      </w:pPr>
    </w:p>
    <w:p w:rsidR="001E77AB" w:rsidRDefault="001E77AB">
      <w:pPr>
        <w:pStyle w:val="newncpi"/>
      </w:pPr>
    </w:p>
    <w:p w:rsidR="000E5983" w:rsidRDefault="000E5983"/>
    <w:sectPr w:rsidR="000E5983" w:rsidSect="008F2EF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6" w:bottom="1134" w:left="141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F17" w:rsidRDefault="00891F17" w:rsidP="00604CA0">
      <w:pPr>
        <w:spacing w:after="0" w:line="240" w:lineRule="auto"/>
      </w:pPr>
      <w:r>
        <w:separator/>
      </w:r>
    </w:p>
  </w:endnote>
  <w:endnote w:type="continuationSeparator" w:id="0">
    <w:p w:rsidR="00891F17" w:rsidRDefault="00891F17" w:rsidP="00604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1522114"/>
      <w:docPartObj>
        <w:docPartGallery w:val="Page Numbers (Bottom of Page)"/>
        <w:docPartUnique/>
      </w:docPartObj>
    </w:sdtPr>
    <w:sdtEndPr/>
    <w:sdtContent>
      <w:p w:rsidR="00891F17" w:rsidRDefault="00891F17">
        <w:pPr>
          <w:pStyle w:val="a8"/>
        </w:pPr>
      </w:p>
      <w:p w:rsidR="00891F17" w:rsidRDefault="00891F17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53A">
          <w:rPr>
            <w:noProof/>
          </w:rPr>
          <w:t>10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7137597"/>
      <w:docPartObj>
        <w:docPartGallery w:val="Page Numbers (Bottom of Page)"/>
        <w:docPartUnique/>
      </w:docPartObj>
    </w:sdtPr>
    <w:sdtEndPr/>
    <w:sdtContent>
      <w:p w:rsidR="00891F17" w:rsidRDefault="00891F17">
        <w:pPr>
          <w:pStyle w:val="a8"/>
          <w:jc w:val="right"/>
        </w:pPr>
      </w:p>
      <w:p w:rsidR="00891F17" w:rsidRDefault="00891F1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53A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F17" w:rsidRDefault="00891F17" w:rsidP="00604CA0">
      <w:pPr>
        <w:spacing w:after="0" w:line="240" w:lineRule="auto"/>
      </w:pPr>
      <w:r>
        <w:separator/>
      </w:r>
    </w:p>
  </w:footnote>
  <w:footnote w:type="continuationSeparator" w:id="0">
    <w:p w:rsidR="00891F17" w:rsidRDefault="00891F17" w:rsidP="00604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F17" w:rsidRDefault="00891F17" w:rsidP="00604CA0">
    <w:pPr>
      <w:pStyle w:val="a5"/>
    </w:pPr>
    <w:r>
      <w:t>НРР 8.03.130-2026</w:t>
    </w:r>
  </w:p>
  <w:p w:rsidR="00891F17" w:rsidRDefault="00891F17" w:rsidP="00604CA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F17" w:rsidRDefault="00891F17" w:rsidP="00604CA0">
    <w:pPr>
      <w:pStyle w:val="a5"/>
      <w:jc w:val="right"/>
    </w:pPr>
    <w:r>
      <w:t>НРР 8.03.130-2026</w:t>
    </w:r>
  </w:p>
  <w:p w:rsidR="00891F17" w:rsidRDefault="00891F17" w:rsidP="00604CA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F87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6AD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867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4A7F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82C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06BA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7E0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663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D89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505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AB"/>
    <w:rsid w:val="000E5983"/>
    <w:rsid w:val="001E77AB"/>
    <w:rsid w:val="00464985"/>
    <w:rsid w:val="00604CA0"/>
    <w:rsid w:val="006462E0"/>
    <w:rsid w:val="00651EE5"/>
    <w:rsid w:val="006B5019"/>
    <w:rsid w:val="006D7FC3"/>
    <w:rsid w:val="006E7253"/>
    <w:rsid w:val="00811859"/>
    <w:rsid w:val="00891F17"/>
    <w:rsid w:val="008F2EFC"/>
    <w:rsid w:val="00903008"/>
    <w:rsid w:val="009156A7"/>
    <w:rsid w:val="00BA58E7"/>
    <w:rsid w:val="00C85CC4"/>
    <w:rsid w:val="00CC653A"/>
    <w:rsid w:val="00CE0753"/>
    <w:rsid w:val="00DC2191"/>
    <w:rsid w:val="00E05F8E"/>
    <w:rsid w:val="00EA48EF"/>
    <w:rsid w:val="00FF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FFE6CA"/>
  <w15:chartTrackingRefBased/>
  <w15:docId w15:val="{811D826E-03C6-405A-A892-6E849F2C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77AB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1E77AB"/>
    <w:rPr>
      <w:color w:val="154C94"/>
      <w:u w:val="single"/>
    </w:rPr>
  </w:style>
  <w:style w:type="paragraph" w:customStyle="1" w:styleId="msonormal0">
    <w:name w:val="msonormal"/>
    <w:basedOn w:val="a"/>
    <w:rsid w:val="001E77A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1E77AB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1E77A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1E77A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1E77A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1E77A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1E77A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1E77A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1E77A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1E77AB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1E77A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1E77A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1E77AB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1E77A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1E77AB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1E77A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1E77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1E77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1E77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1E77A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1E77A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1E77AB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1E77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1E77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1E77A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1E77A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1E77A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1E77AB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1E77A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1E77AB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1E77A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1E77A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1E77A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1E77AB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1E77AB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1E77A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1E77A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1E77AB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1E77A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1E77A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1E77A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1E77A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1E77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E77A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1E77AB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1E77AB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1E77A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1E77A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1E77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1E77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1E77AB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1E77A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1E77A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1E77AB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1E77AB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1E77A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1E77AB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1E77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1E77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1E77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1E77AB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1E77A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1E77AB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1E77AB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1E77A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1E77AB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1E77AB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1E77AB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1E77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1E77A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1E77A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1E77AB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1E77AB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1E77AB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1E77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1E77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1E77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1E77A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1E77AB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1E77A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1E77A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1E77A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1E77A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E77A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E77AB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1E77A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1E77A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E77AB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1E77AB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1E77A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1E77AB"/>
    <w:rPr>
      <w:rFonts w:ascii="Symbol" w:hAnsi="Symbol" w:hint="default"/>
    </w:rPr>
  </w:style>
  <w:style w:type="character" w:customStyle="1" w:styleId="onewind3">
    <w:name w:val="onewind3"/>
    <w:basedOn w:val="a0"/>
    <w:rsid w:val="001E77AB"/>
    <w:rPr>
      <w:rFonts w:ascii="Wingdings 3" w:hAnsi="Wingdings 3" w:hint="default"/>
    </w:rPr>
  </w:style>
  <w:style w:type="character" w:customStyle="1" w:styleId="onewind2">
    <w:name w:val="onewind2"/>
    <w:basedOn w:val="a0"/>
    <w:rsid w:val="001E77AB"/>
    <w:rPr>
      <w:rFonts w:ascii="Wingdings 2" w:hAnsi="Wingdings 2" w:hint="default"/>
    </w:rPr>
  </w:style>
  <w:style w:type="character" w:customStyle="1" w:styleId="onewind">
    <w:name w:val="onewind"/>
    <w:basedOn w:val="a0"/>
    <w:rsid w:val="001E77AB"/>
    <w:rPr>
      <w:rFonts w:ascii="Wingdings" w:hAnsi="Wingdings" w:hint="default"/>
    </w:rPr>
  </w:style>
  <w:style w:type="character" w:customStyle="1" w:styleId="rednoun">
    <w:name w:val="rednoun"/>
    <w:basedOn w:val="a0"/>
    <w:rsid w:val="001E77AB"/>
  </w:style>
  <w:style w:type="character" w:customStyle="1" w:styleId="post">
    <w:name w:val="post"/>
    <w:basedOn w:val="a0"/>
    <w:rsid w:val="001E77A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1E77A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1E77AB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1E77A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1E77AB"/>
    <w:rPr>
      <w:rFonts w:ascii="Arial" w:hAnsi="Arial" w:cs="Arial" w:hint="default"/>
    </w:rPr>
  </w:style>
  <w:style w:type="character" w:customStyle="1" w:styleId="snoskiindex">
    <w:name w:val="snoskiindex"/>
    <w:basedOn w:val="a0"/>
    <w:rsid w:val="001E77AB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1E7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numbering" w:customStyle="1" w:styleId="10">
    <w:name w:val="Нет списка1"/>
    <w:next w:val="a2"/>
    <w:semiHidden/>
    <w:rsid w:val="00DC2191"/>
  </w:style>
  <w:style w:type="paragraph" w:styleId="a5">
    <w:name w:val="header"/>
    <w:basedOn w:val="a"/>
    <w:link w:val="a6"/>
    <w:rsid w:val="00DC21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DC21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C2191"/>
    <w:rPr>
      <w:rFonts w:ascii="Times New Roman" w:hAnsi="Times New Roman"/>
      <w:sz w:val="20"/>
    </w:rPr>
  </w:style>
  <w:style w:type="paragraph" w:styleId="a8">
    <w:name w:val="footer"/>
    <w:basedOn w:val="a"/>
    <w:link w:val="a9"/>
    <w:uiPriority w:val="99"/>
    <w:rsid w:val="00DC21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DC2191"/>
    <w:rPr>
      <w:rFonts w:ascii="Times New Roman" w:eastAsia="Times New Roman" w:hAnsi="Times New Roman" w:cs="Times New Roman"/>
      <w:sz w:val="20"/>
      <w:szCs w:val="24"/>
      <w:lang w:eastAsia="ru-RU"/>
    </w:rPr>
  </w:style>
  <w:style w:type="table" w:styleId="aa">
    <w:name w:val="Table Grid"/>
    <w:basedOn w:val="a1"/>
    <w:uiPriority w:val="39"/>
    <w:rsid w:val="00C85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4117</Words>
  <Characters>23471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Миранович Екатерина Александровна</dc:creator>
  <cp:keywords/>
  <dc:description/>
  <cp:lastModifiedBy>Гордиенко Виктория Олеговна</cp:lastModifiedBy>
  <cp:revision>15</cp:revision>
  <dcterms:created xsi:type="dcterms:W3CDTF">2024-02-13T11:28:00Z</dcterms:created>
  <dcterms:modified xsi:type="dcterms:W3CDTF">2026-02-12T06:18:00Z</dcterms:modified>
</cp:coreProperties>
</file>