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1D" w:rsidRPr="00AF730D" w:rsidRDefault="00472C1D">
      <w:pPr>
        <w:pStyle w:val="nonumheader"/>
        <w:rPr>
          <w:sz w:val="32"/>
          <w:szCs w:val="32"/>
        </w:rPr>
      </w:pPr>
      <w:r w:rsidRPr="00AF730D">
        <w:rPr>
          <w:sz w:val="28"/>
          <w:szCs w:val="28"/>
        </w:rPr>
        <w:t>НОРМАТИВЫ РАСХОДА РЕСУРСОВ</w:t>
      </w:r>
      <w:r w:rsidRPr="00AF730D">
        <w:rPr>
          <w:sz w:val="28"/>
          <w:szCs w:val="28"/>
        </w:rPr>
        <w:br/>
        <w:t>В НАТУРАЛЬНОМ ВЫРАЖЕНИИ</w:t>
      </w:r>
      <w:r w:rsidRPr="00AF730D">
        <w:rPr>
          <w:sz w:val="28"/>
          <w:szCs w:val="28"/>
        </w:rPr>
        <w:br/>
        <w:t>на строительные конструкции и работы</w:t>
      </w:r>
      <w:r w:rsidRPr="00AF730D">
        <w:rPr>
          <w:sz w:val="28"/>
          <w:szCs w:val="28"/>
        </w:rPr>
        <w:br/>
        <w:t>Сборник 23</w:t>
      </w:r>
      <w:r w:rsidRPr="00AF730D">
        <w:rPr>
          <w:sz w:val="28"/>
          <w:szCs w:val="28"/>
        </w:rPr>
        <w:br/>
      </w:r>
      <w:r w:rsidRPr="00AF730D">
        <w:rPr>
          <w:sz w:val="32"/>
          <w:szCs w:val="32"/>
        </w:rPr>
        <w:t>Канализация – наружные сети</w:t>
      </w:r>
    </w:p>
    <w:p w:rsidR="00472C1D" w:rsidRPr="00AF730D" w:rsidRDefault="00472C1D">
      <w:pPr>
        <w:pStyle w:val="nonumheader"/>
        <w:rPr>
          <w:sz w:val="28"/>
          <w:szCs w:val="28"/>
        </w:rPr>
      </w:pPr>
      <w:r w:rsidRPr="00AF730D">
        <w:rPr>
          <w:sz w:val="28"/>
          <w:szCs w:val="28"/>
        </w:rPr>
        <w:t>НАРМАТЫВЫ РАСХОДА РЭСУРСАЎ</w:t>
      </w:r>
      <w:r w:rsidRPr="00AF730D">
        <w:rPr>
          <w:sz w:val="28"/>
          <w:szCs w:val="28"/>
        </w:rPr>
        <w:br/>
        <w:t>У НАТУРАЛЬНЫМ ВЫРАЖЭННІ</w:t>
      </w:r>
      <w:r w:rsidRPr="00AF730D">
        <w:rPr>
          <w:sz w:val="28"/>
          <w:szCs w:val="28"/>
        </w:rPr>
        <w:br/>
        <w:t xml:space="preserve">на </w:t>
      </w:r>
      <w:proofErr w:type="spellStart"/>
      <w:r w:rsidRPr="00AF730D">
        <w:rPr>
          <w:sz w:val="28"/>
          <w:szCs w:val="28"/>
        </w:rPr>
        <w:t>будаўнічыя</w:t>
      </w:r>
      <w:proofErr w:type="spellEnd"/>
      <w:r w:rsidRPr="00AF730D">
        <w:rPr>
          <w:sz w:val="28"/>
          <w:szCs w:val="28"/>
        </w:rPr>
        <w:t xml:space="preserve"> </w:t>
      </w:r>
      <w:proofErr w:type="spellStart"/>
      <w:r w:rsidRPr="00AF730D">
        <w:rPr>
          <w:sz w:val="28"/>
          <w:szCs w:val="28"/>
        </w:rPr>
        <w:t>канструкцыі</w:t>
      </w:r>
      <w:proofErr w:type="spellEnd"/>
      <w:r w:rsidRPr="00AF730D">
        <w:rPr>
          <w:sz w:val="28"/>
          <w:szCs w:val="28"/>
        </w:rPr>
        <w:t xml:space="preserve"> i работы</w:t>
      </w:r>
      <w:r w:rsidRPr="00AF730D">
        <w:rPr>
          <w:sz w:val="28"/>
          <w:szCs w:val="28"/>
        </w:rPr>
        <w:br/>
      </w:r>
      <w:proofErr w:type="spellStart"/>
      <w:r w:rsidRPr="00AF730D">
        <w:rPr>
          <w:sz w:val="28"/>
          <w:szCs w:val="28"/>
        </w:rPr>
        <w:t>Зборнік</w:t>
      </w:r>
      <w:proofErr w:type="spellEnd"/>
      <w:r w:rsidRPr="00AF730D">
        <w:rPr>
          <w:sz w:val="28"/>
          <w:szCs w:val="28"/>
        </w:rPr>
        <w:t xml:space="preserve"> 23</w:t>
      </w:r>
      <w:r w:rsidRPr="00AF730D">
        <w:rPr>
          <w:sz w:val="28"/>
          <w:szCs w:val="28"/>
        </w:rPr>
        <w:br/>
      </w:r>
      <w:proofErr w:type="spellStart"/>
      <w:r w:rsidRPr="00AF730D">
        <w:rPr>
          <w:sz w:val="32"/>
          <w:szCs w:val="32"/>
        </w:rPr>
        <w:t>Каналізацыя</w:t>
      </w:r>
      <w:proofErr w:type="spellEnd"/>
      <w:r w:rsidRPr="00AF730D">
        <w:rPr>
          <w:sz w:val="32"/>
          <w:szCs w:val="32"/>
        </w:rPr>
        <w:t xml:space="preserve"> – </w:t>
      </w:r>
      <w:proofErr w:type="spellStart"/>
      <w:r w:rsidRPr="00AF730D">
        <w:rPr>
          <w:sz w:val="32"/>
          <w:szCs w:val="32"/>
        </w:rPr>
        <w:t>знадворныя</w:t>
      </w:r>
      <w:proofErr w:type="spellEnd"/>
      <w:r w:rsidRPr="00AF730D">
        <w:rPr>
          <w:sz w:val="32"/>
          <w:szCs w:val="32"/>
        </w:rPr>
        <w:t xml:space="preserve"> </w:t>
      </w:r>
      <w:proofErr w:type="spellStart"/>
      <w:r w:rsidRPr="00AF730D">
        <w:rPr>
          <w:sz w:val="32"/>
          <w:szCs w:val="32"/>
        </w:rPr>
        <w:t>сеткі</w:t>
      </w:r>
      <w:proofErr w:type="spellEnd"/>
    </w:p>
    <w:p w:rsidR="00472C1D" w:rsidRPr="00AF730D" w:rsidRDefault="00472C1D">
      <w:pPr>
        <w:pStyle w:val="nonumheader"/>
        <w:rPr>
          <w:sz w:val="28"/>
          <w:szCs w:val="28"/>
          <w:lang w:val="en-US"/>
        </w:rPr>
      </w:pPr>
      <w:r w:rsidRPr="00AF730D">
        <w:rPr>
          <w:sz w:val="28"/>
          <w:szCs w:val="28"/>
          <w:lang w:val="en-US"/>
        </w:rPr>
        <w:t>SPECIFICATIONS OF THE EXPENSE OF RESOURCES</w:t>
      </w:r>
      <w:r w:rsidRPr="00AF730D">
        <w:rPr>
          <w:sz w:val="28"/>
          <w:szCs w:val="28"/>
          <w:lang w:val="en-US"/>
        </w:rPr>
        <w:br/>
        <w:t>IN NATURAL EXPRESSION</w:t>
      </w:r>
      <w:r w:rsidRPr="00AF730D">
        <w:rPr>
          <w:sz w:val="28"/>
          <w:szCs w:val="28"/>
          <w:lang w:val="en-US"/>
        </w:rPr>
        <w:br/>
        <w:t>for building constructions and works</w:t>
      </w:r>
      <w:r w:rsidRPr="00AF730D">
        <w:rPr>
          <w:sz w:val="28"/>
          <w:szCs w:val="28"/>
          <w:lang w:val="en-US"/>
        </w:rPr>
        <w:br/>
        <w:t>Miscellany 23</w:t>
      </w:r>
      <w:r w:rsidRPr="00AF730D">
        <w:rPr>
          <w:sz w:val="28"/>
          <w:szCs w:val="28"/>
          <w:lang w:val="en-US"/>
        </w:rPr>
        <w:br/>
        <w:t>Canalization – external devices</w:t>
      </w:r>
    </w:p>
    <w:p w:rsidR="00472C1D" w:rsidRPr="00AF730D" w:rsidRDefault="00472C1D">
      <w:pPr>
        <w:pStyle w:val="onestring"/>
      </w:pPr>
      <w:r w:rsidRPr="00AF730D">
        <w:rPr>
          <w:b/>
          <w:bCs/>
        </w:rPr>
        <w:t>Дата введения 202</w:t>
      </w:r>
      <w:r w:rsidR="0044051A" w:rsidRPr="00AF730D">
        <w:rPr>
          <w:b/>
          <w:bCs/>
        </w:rPr>
        <w:t>6</w:t>
      </w:r>
      <w:r w:rsidRPr="00AF730D">
        <w:rPr>
          <w:b/>
          <w:bCs/>
        </w:rPr>
        <w:t>-05-01</w:t>
      </w:r>
    </w:p>
    <w:p w:rsidR="00490F83" w:rsidRPr="00AF730D" w:rsidRDefault="00490F83">
      <w:pPr>
        <w:pStyle w:val="nonumheader"/>
        <w:rPr>
          <w:sz w:val="28"/>
          <w:szCs w:val="28"/>
        </w:rPr>
      </w:pPr>
    </w:p>
    <w:p w:rsidR="00472C1D" w:rsidRPr="00AF730D" w:rsidRDefault="00472C1D">
      <w:pPr>
        <w:pStyle w:val="nonumheader"/>
        <w:rPr>
          <w:sz w:val="28"/>
          <w:szCs w:val="28"/>
        </w:rPr>
      </w:pPr>
      <w:r w:rsidRPr="00AF730D">
        <w:rPr>
          <w:sz w:val="28"/>
          <w:szCs w:val="28"/>
        </w:rPr>
        <w:t>ТЕХНИЧЕСКАЯ ЧАСТЬ</w:t>
      </w:r>
    </w:p>
    <w:p w:rsidR="00472C1D" w:rsidRPr="00AF730D" w:rsidRDefault="00472C1D">
      <w:pPr>
        <w:pStyle w:val="numheader"/>
        <w:rPr>
          <w:sz w:val="28"/>
          <w:szCs w:val="28"/>
        </w:rPr>
      </w:pPr>
      <w:r w:rsidRPr="00AF730D">
        <w:rPr>
          <w:sz w:val="28"/>
          <w:szCs w:val="28"/>
        </w:rPr>
        <w:t>1. ОБЩИЕ УКАЗАНИЯ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t>В настоящий Сборник включены нормативы на выполнение работ по строительству наружных самотечных сетей канализации.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1.2. В нормативах учтены усредненные условия производства работ. Вносить в нормативы изменения или поправки в зависимости от длины труб, глубины и состояния траншей и т.п. не допускается.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1.3. В нормативах на прокладку трубопроводов из хризотилцементных, керамических, железобетонных и бетонных труб диаметры труб приведены по условному проходу.</w:t>
      </w:r>
    </w:p>
    <w:p w:rsidR="00497D93" w:rsidRPr="00AF730D" w:rsidRDefault="00472C1D" w:rsidP="00D3038D">
      <w:pPr>
        <w:pStyle w:val="snoskiline"/>
        <w:ind w:firstLine="567"/>
        <w:rPr>
          <w:b/>
          <w:sz w:val="24"/>
          <w:szCs w:val="24"/>
        </w:rPr>
      </w:pPr>
      <w:r w:rsidRPr="00AF730D">
        <w:rPr>
          <w:b/>
          <w:sz w:val="24"/>
          <w:szCs w:val="24"/>
        </w:rPr>
        <w:t>В нормативах на прокладку трубопроводов из полиэтиленовых и поливинилхлоридных труб приведены наружные диаметры труб.</w:t>
      </w:r>
      <w:r w:rsidR="00497D93" w:rsidRPr="00AF730D">
        <w:rPr>
          <w:b/>
          <w:sz w:val="24"/>
          <w:szCs w:val="24"/>
        </w:rPr>
        <w:t xml:space="preserve"> </w:t>
      </w:r>
    </w:p>
    <w:p w:rsidR="00497D93" w:rsidRPr="00AF730D" w:rsidRDefault="00497D93" w:rsidP="00D3038D">
      <w:pPr>
        <w:pStyle w:val="snoskiline"/>
        <w:ind w:firstLine="567"/>
        <w:rPr>
          <w:b/>
          <w:sz w:val="24"/>
          <w:szCs w:val="24"/>
        </w:rPr>
      </w:pPr>
    </w:p>
    <w:p w:rsidR="00D3038D" w:rsidRPr="00AF730D" w:rsidRDefault="00D3038D" w:rsidP="00D3038D">
      <w:pPr>
        <w:pStyle w:val="snoskiline"/>
        <w:ind w:firstLine="567"/>
        <w:rPr>
          <w:b/>
          <w:sz w:val="24"/>
          <w:szCs w:val="24"/>
        </w:rPr>
      </w:pPr>
    </w:p>
    <w:p w:rsidR="00497D93" w:rsidRPr="00AF730D" w:rsidRDefault="00497D93" w:rsidP="00497D93">
      <w:pPr>
        <w:pStyle w:val="snoskiline"/>
      </w:pPr>
      <w:r w:rsidRPr="00AF730D">
        <w:t>______________________________</w:t>
      </w:r>
    </w:p>
    <w:p w:rsidR="00497D93" w:rsidRPr="00AF730D" w:rsidRDefault="00497D93" w:rsidP="00497D93">
      <w:pPr>
        <w:pStyle w:val="snoski"/>
        <w:spacing w:after="240"/>
      </w:pPr>
      <w:r w:rsidRPr="00AF730D">
        <w:t>* По тексту настоящего Сборника при ссылке на конкретный норматив применяется его полная нумерация (например, «Е23-1-1») или с указанием таблицы норматива – его сокращение (например, «Таблица 23-1 (норма 1)»).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lastRenderedPageBreak/>
        <w:t>В случае, когда проектной документацией объекта строительства предусматриваются трубы диаметром, отличающимся от приведенных, следует применять нормативы для труб ближайшего диаметра.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t>Диаметры труб в нормативах, приведенные со словом «до», следует понимать включительно.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1.4. В нормативах учтены расходы на выполнение основных работ, которые перечислены в «составе работ», и вспомогательных, сопутствующих и связанных с основными (подноска и опускание материалов, очистка внутренних поверхностей труб от загрязнений, перестановка креплений при опускании труб, переходы рабочих в пределах рабочей зоны, проверка уклонов, зачистка дна траншей, готовых приямков, подбивка труб грунтом, планировка естественных оснований и т.п.).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1.5. В нормативах на устройство канализационных и дождеприемных колодцев учтены расходы на установку люков, решеток и металлических стремянок.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1.6. Расходы на устройство временных инвентарных приспособлений: различного рода настилов, стремянок, переходных мостиков через траншеи, а также ограждений траншей, деревьев и люков колодцев нормативами не учтены и возмещаются за счет общехозяйственных и общепроизводственных расходов и плановой прибыли.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 xml:space="preserve">1.7. Расходы на устройство водостоков определяются по нормативам таблиц 23-6, </w:t>
      </w:r>
      <w:r w:rsidR="00490F83" w:rsidRPr="00AF730D">
        <w:rPr>
          <w:b/>
        </w:rPr>
        <w:br/>
      </w:r>
      <w:r w:rsidRPr="00AF730D">
        <w:rPr>
          <w:b/>
        </w:rPr>
        <w:t>23-7, 23-9 с применением коэффициентов, приведенных в разделе 3 Технической части.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1.8. Расходы на устройство колодцев в просадочных грунтах следует определять по нормативам на строительство аналогичных колодцев в мокрых грунтах с добавлением расходов на: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t>уплотнение грунта в основании колодца;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t>устройство водоупорного замка из глины;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t>установку арматурных сеток в монолитном днище с расходом 0,03 т – для нормативов таблицы 23-14, 0,02 т – для нормативов таблицы 23-15 и 0,04 т – для нормативов таблицы 23-16 на 10 м</w:t>
      </w:r>
      <w:r w:rsidRPr="00AF730D">
        <w:rPr>
          <w:b/>
          <w:vertAlign w:val="superscript"/>
        </w:rPr>
        <w:t>3</w:t>
      </w:r>
      <w:r w:rsidRPr="00AF730D">
        <w:rPr>
          <w:b/>
        </w:rPr>
        <w:t xml:space="preserve"> конструкций колодцев;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t>обмазку внутренних поверхностей горячим битумом за 2 раза.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1.9. Расходы на прокладку трубопроводов напорной канализации следует определять по нормативам Сборника 22 «Водопровод – наружные сети».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1.10. Расходы на устройство канализационных выпусков из зданий и сооружений от наружной стены до первого выпускного колодца учтены нормативами Сборника 16 «Трубопроводы внутренние».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1.11. Расходы на земляные и водоотливные работы, а также искусственное водопонижение определяются по нормативам соответствующих сборников в соответствии с технологией производства этих работ, разработанной в проектах организации строительства или проектах производства работ.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1.12. Расходы на подвеску существующих подземных коммуникаций при пересечении их трассой трубопроводов определяются по нормативам Сборника 22 «Водопровод – наружные сети».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1.13. Расходы на укладку футляров из железобетонных труб в открытой траншее определяются по нормативам настоящего Сборника (таблицы 23-4 – 23-6), а расходы на укладку футляров из стальных труб и протаскивание труб в футляры – по нормативам Сборника 22 «Водопровод – наружные сети».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1.14. Расходы на устройство отмостки у люков колодцев в случаях, предусмотренных проектной документацией объекта строительства, определяются дополнительно по нормативам Сборника 27 «Автомобильные дороги».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 xml:space="preserve">1.15. Нормативы таблиц 23-13 – 23-18 предназначены для определения расходов на устройство канализационных и дождеприемных колодцев по типовым проектам, а также </w:t>
      </w:r>
      <w:r w:rsidRPr="00AF730D">
        <w:rPr>
          <w:b/>
        </w:rPr>
        <w:lastRenderedPageBreak/>
        <w:t>колодцев и камер аналогичной конструкции индивидуального проектирования общим объемом строительных конструкций на один колодец или камеру до 60 м</w:t>
      </w:r>
      <w:r w:rsidRPr="00AF730D">
        <w:rPr>
          <w:b/>
          <w:vertAlign w:val="superscript"/>
        </w:rPr>
        <w:t>3</w:t>
      </w:r>
      <w:r w:rsidRPr="00AF730D">
        <w:rPr>
          <w:b/>
        </w:rPr>
        <w:t>.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t>Расходы на устройство колодцев или камер общим объемом строительных конструкций более 60 м</w:t>
      </w:r>
      <w:r w:rsidRPr="00AF730D">
        <w:rPr>
          <w:b/>
          <w:vertAlign w:val="superscript"/>
        </w:rPr>
        <w:t>3</w:t>
      </w:r>
      <w:r w:rsidRPr="00AF730D">
        <w:rPr>
          <w:b/>
        </w:rPr>
        <w:t xml:space="preserve"> определяются по нормативам соответствующих сборников.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1.16. В нормативах таблицы 23-1 (норма 5) приведен усредненный расход арматуры исходя из общей массы всех видов армирования (каркасами, сетками, отдельными стержнями).</w:t>
      </w:r>
    </w:p>
    <w:p w:rsidR="00472C1D" w:rsidRPr="00AF730D" w:rsidRDefault="00472C1D">
      <w:pPr>
        <w:pStyle w:val="newncpi"/>
        <w:rPr>
          <w:b/>
        </w:rPr>
      </w:pPr>
      <w:r w:rsidRPr="00AF730D">
        <w:rPr>
          <w:b/>
        </w:rPr>
        <w:t>При составлении смет расход арматуры и класс стали следует принимать по проектным данным без корректировки затрат труда и норм эксплуатации машин на ее установку.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1.17.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1.18. Устройство тоннелей из железобетонных труб при бестраншейной прокладке сетей канализации проходческим комплексом с использованием тоннелепроходческих щитов диаметром 2000 мм, 1200 мм, 1000 мм следует нормировать по Сборнику 22 «Водопровод – наружные сети».</w:t>
      </w:r>
    </w:p>
    <w:p w:rsidR="00497D93" w:rsidRPr="00AF730D" w:rsidRDefault="00497D93" w:rsidP="0049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F730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1.19. В нормативах сборника не учтены:</w:t>
      </w:r>
    </w:p>
    <w:p w:rsidR="00AF730D" w:rsidRPr="00AF730D" w:rsidRDefault="00AF730D" w:rsidP="00AF7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AF730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AF730D" w:rsidRPr="00AF730D" w:rsidRDefault="00AF730D" w:rsidP="00AF7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F730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AF730D" w:rsidRPr="00AF730D" w:rsidRDefault="00AF730D" w:rsidP="00AF7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AF730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497D93" w:rsidRPr="00AF730D" w:rsidRDefault="00497D93" w:rsidP="00DB13C0">
      <w:pPr>
        <w:spacing w:after="0" w:line="240" w:lineRule="auto"/>
        <w:ind w:firstLine="567"/>
        <w:jc w:val="both"/>
        <w:rPr>
          <w:b/>
          <w:sz w:val="16"/>
          <w:szCs w:val="16"/>
        </w:rPr>
      </w:pPr>
    </w:p>
    <w:p w:rsidR="00497D93" w:rsidRPr="00AF730D" w:rsidRDefault="00497D93" w:rsidP="00497D93">
      <w:pPr>
        <w:pStyle w:val="underpoint"/>
        <w:spacing w:after="120"/>
        <w:jc w:val="left"/>
        <w:rPr>
          <w:b/>
        </w:rPr>
      </w:pPr>
      <w:r w:rsidRPr="00AF730D">
        <w:rPr>
          <w:b/>
        </w:rPr>
        <w:t xml:space="preserve">Таблица 1 – </w:t>
      </w:r>
      <w:r w:rsidR="00AF730D" w:rsidRPr="00AF730D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DB13C0" w:rsidRPr="00AF730D" w:rsidTr="00AF730D">
        <w:trPr>
          <w:trHeight w:val="765"/>
        </w:trPr>
        <w:tc>
          <w:tcPr>
            <w:tcW w:w="5175" w:type="dxa"/>
            <w:shd w:val="clear" w:color="auto" w:fill="auto"/>
            <w:noWrap/>
            <w:vAlign w:val="center"/>
            <w:hideMark/>
          </w:tcPr>
          <w:p w:rsidR="00DB13C0" w:rsidRPr="00AF730D" w:rsidRDefault="00DB13C0" w:rsidP="00DB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C0" w:rsidRPr="00AF730D" w:rsidRDefault="00DB13C0" w:rsidP="00DB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AF730D" w:rsidRPr="00AF73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AF73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C0" w:rsidRPr="00AF730D" w:rsidRDefault="00DB13C0" w:rsidP="00DB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vAlign w:val="center"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D3038D" w:rsidRPr="00AF730D" w:rsidTr="00AF730D">
        <w:trPr>
          <w:trHeight w:val="228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23-13 (2,4,6,8), 23-18 (2,4)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3038D" w:rsidRPr="00AF730D" w:rsidTr="00AF730D">
        <w:trPr>
          <w:trHeight w:val="104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23-11, 23-12</w:t>
            </w:r>
          </w:p>
        </w:tc>
        <w:tc>
          <w:tcPr>
            <w:tcW w:w="2300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D3038D" w:rsidRPr="00AF730D" w:rsidTr="00AF730D">
        <w:trPr>
          <w:trHeight w:val="264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23-4 (1,2,3,4,5,6,7,8,9), 23-5, 23-6 (5,6,7,8,9,10), 23-7, 23-8, 23-9 (6), 23-10</w:t>
            </w:r>
          </w:p>
        </w:tc>
        <w:tc>
          <w:tcPr>
            <w:tcW w:w="2300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83.7</w:t>
            </w:r>
          </w:p>
        </w:tc>
      </w:tr>
      <w:tr w:rsidR="00D3038D" w:rsidRPr="00AF730D" w:rsidTr="00AF730D">
        <w:trPr>
          <w:trHeight w:val="127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23-16 (3,5)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47.4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23-4 (10)</w:t>
            </w:r>
          </w:p>
        </w:tc>
        <w:tc>
          <w:tcPr>
            <w:tcW w:w="2300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83.7</w:t>
            </w:r>
          </w:p>
        </w:tc>
      </w:tr>
    </w:tbl>
    <w:p w:rsidR="00AF730D" w:rsidRPr="00AF730D" w:rsidRDefault="00AF730D" w:rsidP="00AF730D">
      <w:pPr>
        <w:pStyle w:val="underpoint"/>
        <w:spacing w:after="120"/>
        <w:jc w:val="right"/>
        <w:rPr>
          <w:b/>
        </w:rPr>
      </w:pPr>
      <w:r w:rsidRPr="00AF730D">
        <w:rPr>
          <w:b/>
        </w:rPr>
        <w:lastRenderedPageBreak/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AF730D" w:rsidRPr="00AF730D" w:rsidTr="00AF730D">
        <w:trPr>
          <w:trHeight w:val="71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0D" w:rsidRPr="00AF730D" w:rsidRDefault="00AF730D" w:rsidP="00A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0D" w:rsidRPr="00AF730D" w:rsidRDefault="00AF730D" w:rsidP="00A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вспомогательных машин и механизмов от стоимости эксплуатации машин и механизмов, учтенных в нормативах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0D" w:rsidRPr="00AF730D" w:rsidRDefault="00AF730D" w:rsidP="00A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AF730D" w:rsidRPr="00AF730D" w:rsidTr="00AF730D">
        <w:trPr>
          <w:trHeight w:val="71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0D" w:rsidRPr="00AF730D" w:rsidRDefault="00AF730D" w:rsidP="00A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0D" w:rsidRPr="00AF730D" w:rsidRDefault="00AF730D" w:rsidP="00A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0D" w:rsidRPr="00AF730D" w:rsidRDefault="00AF730D" w:rsidP="00AF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23-16 (1,7), 23-17 (1)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45.6</w:t>
            </w:r>
          </w:p>
        </w:tc>
      </w:tr>
      <w:tr w:rsidR="00D3038D" w:rsidRPr="00AF730D" w:rsidTr="00AF730D">
        <w:trPr>
          <w:trHeight w:val="124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 (4,5), 23-17 (4)</w:t>
            </w:r>
          </w:p>
        </w:tc>
        <w:tc>
          <w:tcPr>
            <w:tcW w:w="2300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52.2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23-18 (6)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23-16 (6,8)</w:t>
            </w:r>
          </w:p>
        </w:tc>
        <w:tc>
          <w:tcPr>
            <w:tcW w:w="2300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23.6</w:t>
            </w:r>
          </w:p>
        </w:tc>
      </w:tr>
      <w:tr w:rsidR="00D3038D" w:rsidRPr="00AF730D" w:rsidTr="00AF730D">
        <w:trPr>
          <w:trHeight w:val="106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23-17 (6)</w:t>
            </w:r>
          </w:p>
        </w:tc>
        <w:tc>
          <w:tcPr>
            <w:tcW w:w="2300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32.7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23-16 (2,4)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21.8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23-17 (3)</w:t>
            </w:r>
          </w:p>
        </w:tc>
        <w:tc>
          <w:tcPr>
            <w:tcW w:w="2300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30.5</w:t>
            </w:r>
          </w:p>
        </w:tc>
      </w:tr>
      <w:tr w:rsidR="00D3038D" w:rsidRPr="00AF730D" w:rsidTr="00AF730D">
        <w:trPr>
          <w:trHeight w:val="102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23-17 (2,5)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23.1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23-19 (2)</w:t>
            </w:r>
          </w:p>
        </w:tc>
        <w:tc>
          <w:tcPr>
            <w:tcW w:w="2300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46.6</w:t>
            </w:r>
          </w:p>
        </w:tc>
      </w:tr>
      <w:tr w:rsidR="00D3038D" w:rsidRPr="00AF730D" w:rsidTr="00AF730D">
        <w:trPr>
          <w:trHeight w:val="71"/>
        </w:trPr>
        <w:tc>
          <w:tcPr>
            <w:tcW w:w="5175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23-19 (1)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2300" w:type="dxa"/>
            <w:shd w:val="clear" w:color="auto" w:fill="auto"/>
            <w:noWrap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52.8</w:t>
            </w:r>
          </w:p>
        </w:tc>
      </w:tr>
    </w:tbl>
    <w:p w:rsidR="00AF730D" w:rsidRPr="00AF730D" w:rsidRDefault="00AF730D" w:rsidP="00497D9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D93" w:rsidRPr="00AF730D" w:rsidRDefault="00D3038D" w:rsidP="00497D9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0D">
        <w:rPr>
          <w:rFonts w:ascii="Times New Roman" w:hAnsi="Times New Roman" w:cs="Times New Roman"/>
          <w:b/>
          <w:sz w:val="24"/>
          <w:szCs w:val="24"/>
        </w:rPr>
        <w:t>Т</w:t>
      </w:r>
      <w:r w:rsidR="00497D93" w:rsidRPr="00AF730D">
        <w:rPr>
          <w:rFonts w:ascii="Times New Roman" w:hAnsi="Times New Roman" w:cs="Times New Roman"/>
          <w:b/>
          <w:sz w:val="24"/>
          <w:szCs w:val="24"/>
        </w:rPr>
        <w:t xml:space="preserve">аблица 2 – </w:t>
      </w:r>
      <w:r w:rsidR="00AF730D" w:rsidRPr="00AF730D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DB13C0" w:rsidRPr="00AF730D" w:rsidTr="00AF730D">
        <w:trPr>
          <w:trHeight w:val="1155"/>
        </w:trPr>
        <w:tc>
          <w:tcPr>
            <w:tcW w:w="5162" w:type="dxa"/>
            <w:shd w:val="clear" w:color="auto" w:fill="auto"/>
            <w:noWrap/>
            <w:vAlign w:val="center"/>
            <w:hideMark/>
          </w:tcPr>
          <w:p w:rsidR="00DB13C0" w:rsidRPr="00AF730D" w:rsidRDefault="00DB13C0" w:rsidP="00DB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:rsidR="00DB13C0" w:rsidRPr="00AF730D" w:rsidRDefault="00DB13C0" w:rsidP="00DB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:rsidR="00DB13C0" w:rsidRPr="00AF730D" w:rsidRDefault="00DB13C0" w:rsidP="00DB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4C4308" w:rsidRPr="00AF7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AF7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D3038D" w:rsidRPr="00AF730D" w:rsidTr="00AF730D">
        <w:trPr>
          <w:trHeight w:val="150"/>
        </w:trPr>
        <w:tc>
          <w:tcPr>
            <w:tcW w:w="5162" w:type="dxa"/>
            <w:shd w:val="clear" w:color="auto" w:fill="auto"/>
            <w:noWrap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5" w:type="dxa"/>
            <w:shd w:val="clear" w:color="auto" w:fill="auto"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23-2</w:t>
            </w:r>
          </w:p>
        </w:tc>
        <w:tc>
          <w:tcPr>
            <w:tcW w:w="2295" w:type="dxa"/>
            <w:vMerge w:val="restart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3038D" w:rsidRPr="00AF730D" w:rsidTr="00AF730D">
        <w:trPr>
          <w:trHeight w:val="214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23-13, 23-14, 23-15, 23-18 (6), 23-26 (1,2,3,4,5,6,7,8,9,10,</w:t>
            </w:r>
            <w:r w:rsidR="00AF730D"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11), 23-33, 23-36</w:t>
            </w:r>
          </w:p>
        </w:tc>
        <w:tc>
          <w:tcPr>
            <w:tcW w:w="2295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23-24 (2)</w:t>
            </w:r>
          </w:p>
        </w:tc>
        <w:tc>
          <w:tcPr>
            <w:tcW w:w="2295" w:type="dxa"/>
            <w:vMerge w:val="restart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23-16 (1,3,5,7), 23-26 (12)</w:t>
            </w:r>
          </w:p>
        </w:tc>
        <w:tc>
          <w:tcPr>
            <w:tcW w:w="2295" w:type="dxa"/>
            <w:vMerge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23-8 (8,9), 23-17 (1,4), 23-32 (6)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23-8 (7), 23-17 (3), 23-18 (1), 23-32 (5)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93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 (4,5), 23-8 (4,5,6,10), 23-16 (8), 23-17 (6), 23-18 (3), 23-32 (4)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23-16 (2,6), 23-17 (5), 23-19 (2), 23-35 (1)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23-8 (3), 23-16 (4), 23-17 (2), 23-32 (3)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23-8 (1), 23-18 (2), 23-19 (1), 23-35 (2)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23-8 (2), 23-32 (2), 23-35 (3)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D3038D" w:rsidRPr="00AF730D" w:rsidTr="00AF730D">
        <w:trPr>
          <w:trHeight w:val="255"/>
        </w:trPr>
        <w:tc>
          <w:tcPr>
            <w:tcW w:w="5162" w:type="dxa"/>
            <w:shd w:val="clear" w:color="auto" w:fill="auto"/>
            <w:hideMark/>
          </w:tcPr>
          <w:p w:rsidR="00D3038D" w:rsidRPr="00AF730D" w:rsidRDefault="00D3038D" w:rsidP="00D30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23-18 (4), 23-32 (1)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3038D" w:rsidRPr="00AF730D" w:rsidRDefault="00D3038D" w:rsidP="00D3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73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</w:tbl>
    <w:p w:rsidR="00DB13C0" w:rsidRPr="00AF730D" w:rsidRDefault="00AF730D" w:rsidP="00DB13C0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AF730D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AF730D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DB13C0" w:rsidRPr="00AF730D">
        <w:rPr>
          <w:bCs w:val="0"/>
        </w:rPr>
        <w:t xml:space="preserve"> вибраторы, котлы битумные, растворосмесители, средства малой механизации, установки для сварки и др.</w:t>
      </w:r>
    </w:p>
    <w:p w:rsidR="00DB13C0" w:rsidRPr="00AF730D" w:rsidRDefault="00AF730D" w:rsidP="00B312E8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AF730D">
        <w:rPr>
          <w:bCs w:val="0"/>
        </w:rPr>
        <w:t>Затраты на вспомогательные материалы учитывают затраты</w:t>
      </w:r>
      <w:bookmarkEnd w:id="2"/>
      <w:r w:rsidRPr="00AF730D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AF730D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AF730D">
        <w:rPr>
          <w:bCs w:val="0"/>
        </w:rPr>
        <w:t>):</w:t>
      </w:r>
      <w:r w:rsidR="00DB13C0" w:rsidRPr="00AF730D">
        <w:rPr>
          <w:bCs w:val="0"/>
        </w:rPr>
        <w:t xml:space="preserve"> бензин-растворитель, битумы, бруски, ветошь, вода, гвозди, доски, канаты из капроновых нитей, мыло, пакля пропитанная, проволока стальная, прокат из стали, </w:t>
      </w:r>
      <w:r w:rsidR="00DB13C0" w:rsidRPr="00AF730D">
        <w:rPr>
          <w:bCs w:val="0"/>
        </w:rPr>
        <w:lastRenderedPageBreak/>
        <w:t>смазки, смеси асфальтобетонные, ткань мешочная, топливо дизельное, шкурка шлифовальная, щиты из досок, электроды и др.</w:t>
      </w:r>
    </w:p>
    <w:p w:rsidR="00472C1D" w:rsidRPr="00AF730D" w:rsidRDefault="00472C1D" w:rsidP="00490F83">
      <w:pPr>
        <w:pStyle w:val="numheader"/>
        <w:spacing w:before="480"/>
        <w:rPr>
          <w:sz w:val="28"/>
          <w:szCs w:val="28"/>
        </w:rPr>
      </w:pPr>
      <w:r w:rsidRPr="00AF730D">
        <w:rPr>
          <w:sz w:val="28"/>
          <w:szCs w:val="28"/>
        </w:rPr>
        <w:t>2. ПРАВИЛА ОПРЕДЕЛЕНИЯ ОБЪЕМОВ РАБОТ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2.1. Объем работ по прокладке трубопроводов наружных сетей канализации следует исчислять по всей проектной длине трубопроводов, считая от выпускных колодцев у зданий или сооружений, без вычета длины, занимаемой колодцами.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2.2. Объем конструкций колодцев следует исчислять по проектным данным, включая объемы днищ, лотка (без учета подготовки), стен, покрытия и горловины.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>2.3. При наличии в проектной документации объекта строительства указания об установке в колодцах вторых крышек расходы на их установку следует учитывать дополнительно.</w:t>
      </w:r>
    </w:p>
    <w:p w:rsidR="00472C1D" w:rsidRPr="00AF730D" w:rsidRDefault="00472C1D">
      <w:pPr>
        <w:pStyle w:val="underpoint"/>
        <w:rPr>
          <w:b/>
        </w:rPr>
      </w:pPr>
      <w:r w:rsidRPr="00AF730D">
        <w:rPr>
          <w:b/>
        </w:rPr>
        <w:t xml:space="preserve">2.4. Расход материалов на выполнение работ по заделке прохода трубы через стенку железобетонного колодца (нормативы таблицы 23-31) приведен в таблице </w:t>
      </w:r>
      <w:r w:rsidR="00497D93" w:rsidRPr="00AF730D">
        <w:rPr>
          <w:b/>
        </w:rPr>
        <w:t>3</w:t>
      </w:r>
      <w:r w:rsidRPr="00AF730D">
        <w:rPr>
          <w:b/>
        </w:rPr>
        <w:t>.</w:t>
      </w:r>
    </w:p>
    <w:p w:rsidR="00472C1D" w:rsidRPr="00AF730D" w:rsidRDefault="00472C1D" w:rsidP="0007033A">
      <w:pPr>
        <w:pStyle w:val="newncpi"/>
        <w:spacing w:after="120"/>
      </w:pPr>
      <w:r w:rsidRPr="00AF730D">
        <w:rPr>
          <w:b/>
          <w:bCs/>
        </w:rPr>
        <w:t xml:space="preserve">Таблица </w:t>
      </w:r>
      <w:r w:rsidR="00497D93" w:rsidRPr="00AF730D">
        <w:rPr>
          <w:b/>
          <w:bCs/>
        </w:rPr>
        <w:t>3</w:t>
      </w:r>
      <w:r w:rsidRPr="00AF730D">
        <w:rPr>
          <w:b/>
          <w:bCs/>
        </w:rPr>
        <w:t> – Расход материалов на выполнение работ по заделке 100 отверстий при проходе трубы через стенку железобетонного колодца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4358"/>
        <w:gridCol w:w="2703"/>
      </w:tblGrid>
      <w:tr w:rsidR="00472C1D" w:rsidRPr="00AF730D">
        <w:trPr>
          <w:trHeight w:val="240"/>
        </w:trPr>
        <w:tc>
          <w:tcPr>
            <w:tcW w:w="14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t> </w:t>
            </w:r>
            <w:bookmarkStart w:id="4" w:name="_Hlk179794916"/>
            <w:r w:rsidRPr="00AF730D">
              <w:rPr>
                <w:b/>
              </w:rPr>
              <w:t>Диаметр трубы, мм</w:t>
            </w:r>
          </w:p>
        </w:tc>
        <w:tc>
          <w:tcPr>
            <w:tcW w:w="2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Расход сухой смеси для монолитного бетонирования, т</w:t>
            </w:r>
          </w:p>
        </w:tc>
        <w:tc>
          <w:tcPr>
            <w:tcW w:w="13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Расход воды, м</w:t>
            </w:r>
            <w:r w:rsidRPr="00AF730D">
              <w:rPr>
                <w:b/>
                <w:vertAlign w:val="superscript"/>
              </w:rPr>
              <w:t>3</w:t>
            </w:r>
          </w:p>
        </w:tc>
      </w:tr>
      <w:tr w:rsidR="00564976" w:rsidRPr="00AF730D">
        <w:trPr>
          <w:trHeight w:val="240"/>
        </w:trPr>
        <w:tc>
          <w:tcPr>
            <w:tcW w:w="14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64976" w:rsidRPr="00AF730D" w:rsidRDefault="00564976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1</w:t>
            </w:r>
          </w:p>
        </w:tc>
        <w:tc>
          <w:tcPr>
            <w:tcW w:w="2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64976" w:rsidRPr="00AF730D" w:rsidRDefault="00564976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2</w:t>
            </w:r>
          </w:p>
        </w:tc>
        <w:tc>
          <w:tcPr>
            <w:tcW w:w="13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64976" w:rsidRPr="00AF730D" w:rsidRDefault="00564976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3</w:t>
            </w:r>
          </w:p>
        </w:tc>
      </w:tr>
      <w:bookmarkEnd w:id="4"/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110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0,21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0,026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125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0,24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0,03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160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0,28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0,036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200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0,62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0,078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250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0,75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0,094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315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0,91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0,114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400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2,27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0,248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500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2,78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0,348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630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3,41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0,426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800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6,43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0,804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1000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7,90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0,988</w:t>
            </w:r>
          </w:p>
        </w:tc>
      </w:tr>
      <w:tr w:rsidR="00472C1D" w:rsidRPr="00AF730D">
        <w:trPr>
          <w:trHeight w:val="240"/>
        </w:trPr>
        <w:tc>
          <w:tcPr>
            <w:tcW w:w="143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1200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12,58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1,574</w:t>
            </w:r>
          </w:p>
        </w:tc>
      </w:tr>
    </w:tbl>
    <w:p w:rsidR="00B312E8" w:rsidRPr="00AF730D" w:rsidRDefault="00B312E8" w:rsidP="00B312E8">
      <w:pPr>
        <w:pStyle w:val="numheader"/>
        <w:spacing w:before="0"/>
        <w:rPr>
          <w:sz w:val="28"/>
          <w:szCs w:val="28"/>
        </w:rPr>
      </w:pPr>
    </w:p>
    <w:p w:rsidR="00472C1D" w:rsidRPr="00AF730D" w:rsidRDefault="00472C1D" w:rsidP="00B312E8">
      <w:pPr>
        <w:pStyle w:val="numheader"/>
        <w:spacing w:before="0"/>
        <w:rPr>
          <w:sz w:val="28"/>
          <w:szCs w:val="28"/>
        </w:rPr>
      </w:pPr>
      <w:r w:rsidRPr="00AF730D">
        <w:rPr>
          <w:sz w:val="28"/>
          <w:szCs w:val="28"/>
        </w:rPr>
        <w:t xml:space="preserve">3. КОЭФФИЦИЕНТЫ К НОРМАТИВАМ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1353"/>
        <w:gridCol w:w="1503"/>
        <w:gridCol w:w="2104"/>
        <w:gridCol w:w="1650"/>
      </w:tblGrid>
      <w:tr w:rsidR="00472C1D" w:rsidRPr="00AF730D">
        <w:trPr>
          <w:trHeight w:val="240"/>
        </w:trPr>
        <w:tc>
          <w:tcPr>
            <w:tcW w:w="166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Условия применения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Номера таблиц (норм)</w:t>
            </w:r>
          </w:p>
        </w:tc>
        <w:tc>
          <w:tcPr>
            <w:tcW w:w="265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Коэффициенты к</w:t>
            </w:r>
          </w:p>
        </w:tc>
      </w:tr>
      <w:tr w:rsidR="00472C1D" w:rsidRPr="00AF730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C1D" w:rsidRPr="00AF730D" w:rsidRDefault="00472C1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C1D" w:rsidRPr="00AF730D" w:rsidRDefault="00472C1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нормам затрат труда рабочих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нормам расхода материалов, изделий и конструкций</w:t>
            </w:r>
          </w:p>
        </w:tc>
      </w:tr>
      <w:tr w:rsidR="00564976" w:rsidRPr="00AF730D" w:rsidTr="00564976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4976" w:rsidRPr="00AF730D" w:rsidRDefault="00564976" w:rsidP="00564976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F730D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76" w:rsidRPr="00AF730D" w:rsidRDefault="00564976" w:rsidP="00564976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F730D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64976" w:rsidRPr="00AF730D" w:rsidRDefault="00564976" w:rsidP="00564976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64976" w:rsidRPr="00AF730D" w:rsidRDefault="00564976" w:rsidP="00564976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64976" w:rsidRPr="00AF730D" w:rsidRDefault="00564976" w:rsidP="00564976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5</w:t>
            </w:r>
          </w:p>
        </w:tc>
      </w:tr>
      <w:tr w:rsidR="00472C1D" w:rsidRPr="00AF730D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rPr>
                <w:b/>
              </w:rPr>
            </w:pPr>
            <w:r w:rsidRPr="00AF730D">
              <w:rPr>
                <w:b/>
              </w:rPr>
              <w:t>3.1. Устройство водостоков с гидравлическим испытанием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23-6 – 23-7,</w:t>
            </w:r>
            <w:r w:rsidRPr="00AF730D">
              <w:rPr>
                <w:b/>
              </w:rPr>
              <w:br/>
              <w:t>23-9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0,84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0,85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–</w:t>
            </w:r>
          </w:p>
        </w:tc>
      </w:tr>
      <w:tr w:rsidR="00472C1D" w:rsidRPr="00490F83">
        <w:trPr>
          <w:trHeight w:val="240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rPr>
                <w:b/>
              </w:rPr>
            </w:pPr>
            <w:r w:rsidRPr="00AF730D">
              <w:rPr>
                <w:b/>
              </w:rPr>
              <w:t>3.2. Устройство водостоков без гидравлического испытания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23-6 – 23-7,</w:t>
            </w:r>
            <w:r w:rsidRPr="00AF730D">
              <w:rPr>
                <w:b/>
              </w:rPr>
              <w:br/>
              <w:t>23-9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0,67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AF730D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0,85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C1D" w:rsidRPr="00490F83" w:rsidRDefault="00472C1D">
            <w:pPr>
              <w:pStyle w:val="table10"/>
              <w:jc w:val="center"/>
              <w:rPr>
                <w:b/>
              </w:rPr>
            </w:pPr>
            <w:r w:rsidRPr="00AF730D">
              <w:rPr>
                <w:b/>
              </w:rPr>
              <w:t>–</w:t>
            </w:r>
            <w:bookmarkStart w:id="5" w:name="_GoBack"/>
            <w:bookmarkEnd w:id="5"/>
          </w:p>
        </w:tc>
      </w:tr>
    </w:tbl>
    <w:p w:rsidR="007F32E2" w:rsidRDefault="00472C1D">
      <w:pPr>
        <w:pStyle w:val="newncpi"/>
      </w:pPr>
      <w:r>
        <w:t> </w:t>
      </w:r>
    </w:p>
    <w:p w:rsidR="007F32E2" w:rsidRPr="007F32E2" w:rsidRDefault="007F32E2" w:rsidP="007F32E2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7F32E2" w:rsidRPr="007F32E2" w:rsidRDefault="007F32E2" w:rsidP="007F32E2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472C1D" w:rsidRDefault="00472C1D">
      <w:pPr>
        <w:pStyle w:val="newncpi"/>
      </w:pPr>
    </w:p>
    <w:p w:rsidR="00287027" w:rsidRDefault="00287027"/>
    <w:sectPr w:rsidR="00287027" w:rsidSect="0007033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1D" w:rsidRDefault="00472C1D" w:rsidP="00472C1D">
      <w:pPr>
        <w:spacing w:after="0" w:line="240" w:lineRule="auto"/>
      </w:pPr>
      <w:r>
        <w:separator/>
      </w:r>
    </w:p>
  </w:endnote>
  <w:endnote w:type="continuationSeparator" w:id="0">
    <w:p w:rsidR="00472C1D" w:rsidRDefault="00472C1D" w:rsidP="0047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295480"/>
      <w:docPartObj>
        <w:docPartGallery w:val="Page Numbers (Bottom of Page)"/>
        <w:docPartUnique/>
      </w:docPartObj>
    </w:sdtPr>
    <w:sdtEndPr/>
    <w:sdtContent>
      <w:p w:rsidR="00490F83" w:rsidRDefault="00490F83">
        <w:pPr>
          <w:pStyle w:val="a7"/>
        </w:pPr>
      </w:p>
      <w:p w:rsidR="00564976" w:rsidRDefault="00564976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30D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5515196"/>
      <w:docPartObj>
        <w:docPartGallery w:val="Page Numbers (Bottom of Page)"/>
        <w:docPartUnique/>
      </w:docPartObj>
    </w:sdtPr>
    <w:sdtEndPr/>
    <w:sdtContent>
      <w:p w:rsidR="00490F83" w:rsidRDefault="00490F83">
        <w:pPr>
          <w:pStyle w:val="a7"/>
          <w:jc w:val="right"/>
        </w:pPr>
      </w:p>
      <w:p w:rsidR="00564976" w:rsidRDefault="005649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30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1D" w:rsidRDefault="00472C1D" w:rsidP="00472C1D">
      <w:pPr>
        <w:spacing w:after="0" w:line="240" w:lineRule="auto"/>
      </w:pPr>
      <w:r>
        <w:separator/>
      </w:r>
    </w:p>
  </w:footnote>
  <w:footnote w:type="continuationSeparator" w:id="0">
    <w:p w:rsidR="00472C1D" w:rsidRDefault="00472C1D" w:rsidP="0047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76" w:rsidRDefault="00564976" w:rsidP="00564976">
    <w:pPr>
      <w:pStyle w:val="a5"/>
      <w:rPr>
        <w:rFonts w:ascii="Times New Roman" w:hAnsi="Times New Roman" w:cs="Times New Roman"/>
        <w:sz w:val="24"/>
        <w:szCs w:val="24"/>
      </w:rPr>
    </w:pPr>
    <w:r w:rsidRPr="00490F83">
      <w:rPr>
        <w:rFonts w:ascii="Times New Roman" w:hAnsi="Times New Roman" w:cs="Times New Roman"/>
        <w:sz w:val="24"/>
        <w:szCs w:val="24"/>
      </w:rPr>
      <w:t>НРР 8.03.123-202</w:t>
    </w:r>
    <w:r w:rsidR="00F7220D">
      <w:rPr>
        <w:rFonts w:ascii="Times New Roman" w:hAnsi="Times New Roman" w:cs="Times New Roman"/>
        <w:sz w:val="24"/>
        <w:szCs w:val="24"/>
      </w:rPr>
      <w:t>6</w:t>
    </w:r>
  </w:p>
  <w:p w:rsidR="00490F83" w:rsidRPr="00490F83" w:rsidRDefault="00490F83" w:rsidP="00564976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76" w:rsidRDefault="00564976" w:rsidP="00564976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490F83">
      <w:rPr>
        <w:rFonts w:ascii="Times New Roman" w:hAnsi="Times New Roman" w:cs="Times New Roman"/>
        <w:sz w:val="24"/>
        <w:szCs w:val="24"/>
      </w:rPr>
      <w:t>НРР 8.03.123-202</w:t>
    </w:r>
    <w:r w:rsidR="00F7220D">
      <w:rPr>
        <w:rFonts w:ascii="Times New Roman" w:hAnsi="Times New Roman" w:cs="Times New Roman"/>
        <w:sz w:val="24"/>
        <w:szCs w:val="24"/>
      </w:rPr>
      <w:t>6</w:t>
    </w:r>
  </w:p>
  <w:p w:rsidR="00490F83" w:rsidRPr="00490F83" w:rsidRDefault="00490F83" w:rsidP="00564976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1D"/>
    <w:rsid w:val="00023BF1"/>
    <w:rsid w:val="0007033A"/>
    <w:rsid w:val="00287027"/>
    <w:rsid w:val="0044051A"/>
    <w:rsid w:val="00472C1D"/>
    <w:rsid w:val="00490F83"/>
    <w:rsid w:val="00497D93"/>
    <w:rsid w:val="004C4308"/>
    <w:rsid w:val="00554288"/>
    <w:rsid w:val="00564976"/>
    <w:rsid w:val="007F32E2"/>
    <w:rsid w:val="00AF730D"/>
    <w:rsid w:val="00B312E8"/>
    <w:rsid w:val="00D3038D"/>
    <w:rsid w:val="00DA552B"/>
    <w:rsid w:val="00DB13C0"/>
    <w:rsid w:val="00E6657E"/>
    <w:rsid w:val="00E77B76"/>
    <w:rsid w:val="00F7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9E0B20"/>
  <w15:chartTrackingRefBased/>
  <w15:docId w15:val="{A0965621-0DCE-40D8-B280-2370A44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2C1D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72C1D"/>
    <w:rPr>
      <w:color w:val="154C94"/>
      <w:u w:val="single"/>
    </w:rPr>
  </w:style>
  <w:style w:type="paragraph" w:customStyle="1" w:styleId="msonormal0">
    <w:name w:val="msonormal"/>
    <w:basedOn w:val="a"/>
    <w:rsid w:val="00472C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472C1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472C1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72C1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72C1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72C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72C1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72C1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72C1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72C1D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72C1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72C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72C1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72C1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72C1D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72C1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72C1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72C1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72C1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72C1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72C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72C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72C1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72C1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72C1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72C1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72C1D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72C1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72C1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72C1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2C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72C1D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72C1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72C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72C1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72C1D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72C1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72C1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72C1D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72C1D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72C1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72C1D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72C1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72C1D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72C1D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72C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72C1D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72C1D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72C1D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72C1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72C1D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72C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72C1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72C1D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72C1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72C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72C1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72C1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2C1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2C1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72C1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72C1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2C1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72C1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72C1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72C1D"/>
    <w:rPr>
      <w:rFonts w:ascii="Symbol" w:hAnsi="Symbol" w:hint="default"/>
    </w:rPr>
  </w:style>
  <w:style w:type="character" w:customStyle="1" w:styleId="onewind3">
    <w:name w:val="onewind3"/>
    <w:basedOn w:val="a0"/>
    <w:rsid w:val="00472C1D"/>
    <w:rPr>
      <w:rFonts w:ascii="Wingdings 3" w:hAnsi="Wingdings 3" w:hint="default"/>
    </w:rPr>
  </w:style>
  <w:style w:type="character" w:customStyle="1" w:styleId="onewind2">
    <w:name w:val="onewind2"/>
    <w:basedOn w:val="a0"/>
    <w:rsid w:val="00472C1D"/>
    <w:rPr>
      <w:rFonts w:ascii="Wingdings 2" w:hAnsi="Wingdings 2" w:hint="default"/>
    </w:rPr>
  </w:style>
  <w:style w:type="character" w:customStyle="1" w:styleId="onewind">
    <w:name w:val="onewind"/>
    <w:basedOn w:val="a0"/>
    <w:rsid w:val="00472C1D"/>
    <w:rPr>
      <w:rFonts w:ascii="Wingdings" w:hAnsi="Wingdings" w:hint="default"/>
    </w:rPr>
  </w:style>
  <w:style w:type="character" w:customStyle="1" w:styleId="rednoun">
    <w:name w:val="rednoun"/>
    <w:basedOn w:val="a0"/>
    <w:rsid w:val="00472C1D"/>
  </w:style>
  <w:style w:type="character" w:customStyle="1" w:styleId="post">
    <w:name w:val="post"/>
    <w:basedOn w:val="a0"/>
    <w:rsid w:val="00472C1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72C1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72C1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72C1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72C1D"/>
    <w:rPr>
      <w:rFonts w:ascii="Arial" w:hAnsi="Arial" w:cs="Arial" w:hint="default"/>
    </w:rPr>
  </w:style>
  <w:style w:type="character" w:customStyle="1" w:styleId="snoskiindex">
    <w:name w:val="snoskiindex"/>
    <w:basedOn w:val="a0"/>
    <w:rsid w:val="00472C1D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7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47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2C1D"/>
  </w:style>
  <w:style w:type="paragraph" w:styleId="a7">
    <w:name w:val="footer"/>
    <w:basedOn w:val="a"/>
    <w:link w:val="a8"/>
    <w:uiPriority w:val="99"/>
    <w:unhideWhenUsed/>
    <w:rsid w:val="0047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2C1D"/>
  </w:style>
  <w:style w:type="character" w:styleId="a9">
    <w:name w:val="page number"/>
    <w:basedOn w:val="a0"/>
    <w:unhideWhenUsed/>
    <w:rsid w:val="00472C1D"/>
  </w:style>
  <w:style w:type="table" w:styleId="aa">
    <w:name w:val="Table Grid"/>
    <w:basedOn w:val="a1"/>
    <w:uiPriority w:val="39"/>
    <w:rsid w:val="0047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F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1547</Words>
  <Characters>10144</Characters>
  <Application>Microsoft Office Word</Application>
  <DocSecurity>0</DocSecurity>
  <Lines>84</Lines>
  <Paragraphs>23</Paragraphs>
  <ScaleCrop>false</ScaleCrop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18</cp:revision>
  <dcterms:created xsi:type="dcterms:W3CDTF">2024-02-13T10:09:00Z</dcterms:created>
  <dcterms:modified xsi:type="dcterms:W3CDTF">2026-02-11T13:42:00Z</dcterms:modified>
</cp:coreProperties>
</file>