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4D" w:rsidRPr="00B523B4" w:rsidRDefault="0095574D">
      <w:pPr>
        <w:pStyle w:val="nonumheader"/>
        <w:rPr>
          <w:sz w:val="32"/>
          <w:szCs w:val="32"/>
        </w:rPr>
      </w:pPr>
      <w:r w:rsidRPr="00B523B4">
        <w:rPr>
          <w:sz w:val="28"/>
          <w:szCs w:val="28"/>
        </w:rPr>
        <w:t>НОРМАТИВЫ РАСХОДА РЕСУРСОВ</w:t>
      </w:r>
      <w:r w:rsidRPr="00B523B4">
        <w:rPr>
          <w:sz w:val="28"/>
          <w:szCs w:val="28"/>
        </w:rPr>
        <w:br/>
        <w:t>В НАТУРАЛЬНОМ ВЫРАЖЕНИИ</w:t>
      </w:r>
      <w:r w:rsidRPr="00B523B4">
        <w:rPr>
          <w:sz w:val="28"/>
          <w:szCs w:val="28"/>
        </w:rPr>
        <w:br/>
        <w:t>на строительные конструкции и работы</w:t>
      </w:r>
      <w:r w:rsidRPr="00B523B4">
        <w:rPr>
          <w:sz w:val="28"/>
          <w:szCs w:val="28"/>
        </w:rPr>
        <w:br/>
        <w:t>Сборник 22</w:t>
      </w:r>
      <w:r w:rsidRPr="00B523B4">
        <w:rPr>
          <w:sz w:val="28"/>
          <w:szCs w:val="28"/>
        </w:rPr>
        <w:br/>
      </w:r>
      <w:r w:rsidRPr="00B523B4">
        <w:rPr>
          <w:sz w:val="32"/>
          <w:szCs w:val="32"/>
        </w:rPr>
        <w:t>Водопровод – наружные сети</w:t>
      </w:r>
    </w:p>
    <w:p w:rsidR="0095574D" w:rsidRPr="00B523B4" w:rsidRDefault="0095574D">
      <w:pPr>
        <w:pStyle w:val="nonumheader"/>
        <w:rPr>
          <w:sz w:val="32"/>
          <w:szCs w:val="32"/>
        </w:rPr>
      </w:pPr>
      <w:r w:rsidRPr="00B523B4">
        <w:rPr>
          <w:sz w:val="28"/>
          <w:szCs w:val="28"/>
        </w:rPr>
        <w:t>НАРМАТЫВЫ РАСХОДА РЭСУРСАЎ</w:t>
      </w:r>
      <w:r w:rsidRPr="00B523B4">
        <w:rPr>
          <w:sz w:val="28"/>
          <w:szCs w:val="28"/>
        </w:rPr>
        <w:br/>
        <w:t>У НАТУРАЛЬНЫМ ВЫРАЖЭННІ</w:t>
      </w:r>
      <w:r w:rsidRPr="00B523B4">
        <w:rPr>
          <w:sz w:val="28"/>
          <w:szCs w:val="28"/>
        </w:rPr>
        <w:br/>
        <w:t xml:space="preserve">на </w:t>
      </w:r>
      <w:proofErr w:type="spellStart"/>
      <w:r w:rsidRPr="00B523B4">
        <w:rPr>
          <w:sz w:val="28"/>
          <w:szCs w:val="28"/>
        </w:rPr>
        <w:t>будаўнічыя</w:t>
      </w:r>
      <w:proofErr w:type="spellEnd"/>
      <w:r w:rsidRPr="00B523B4">
        <w:rPr>
          <w:sz w:val="28"/>
          <w:szCs w:val="28"/>
        </w:rPr>
        <w:t xml:space="preserve"> </w:t>
      </w:r>
      <w:proofErr w:type="spellStart"/>
      <w:r w:rsidRPr="00B523B4">
        <w:rPr>
          <w:sz w:val="28"/>
          <w:szCs w:val="28"/>
        </w:rPr>
        <w:t>канструкцыі</w:t>
      </w:r>
      <w:proofErr w:type="spellEnd"/>
      <w:r w:rsidRPr="00B523B4">
        <w:rPr>
          <w:sz w:val="28"/>
          <w:szCs w:val="28"/>
        </w:rPr>
        <w:t xml:space="preserve"> i работы</w:t>
      </w:r>
      <w:r w:rsidRPr="00B523B4">
        <w:rPr>
          <w:sz w:val="28"/>
          <w:szCs w:val="28"/>
        </w:rPr>
        <w:br/>
      </w:r>
      <w:proofErr w:type="spellStart"/>
      <w:r w:rsidRPr="00B523B4">
        <w:rPr>
          <w:sz w:val="28"/>
          <w:szCs w:val="28"/>
        </w:rPr>
        <w:t>Зборнік</w:t>
      </w:r>
      <w:proofErr w:type="spellEnd"/>
      <w:r w:rsidRPr="00B523B4">
        <w:rPr>
          <w:sz w:val="28"/>
          <w:szCs w:val="28"/>
        </w:rPr>
        <w:t xml:space="preserve"> 22</w:t>
      </w:r>
      <w:r w:rsidRPr="00B523B4">
        <w:rPr>
          <w:sz w:val="28"/>
          <w:szCs w:val="28"/>
        </w:rPr>
        <w:br/>
      </w:r>
      <w:proofErr w:type="spellStart"/>
      <w:r w:rsidRPr="00B523B4">
        <w:rPr>
          <w:sz w:val="32"/>
          <w:szCs w:val="32"/>
        </w:rPr>
        <w:t>Вадаправод</w:t>
      </w:r>
      <w:proofErr w:type="spellEnd"/>
      <w:r w:rsidRPr="00B523B4">
        <w:rPr>
          <w:sz w:val="32"/>
          <w:szCs w:val="32"/>
        </w:rPr>
        <w:t xml:space="preserve"> – </w:t>
      </w:r>
      <w:proofErr w:type="spellStart"/>
      <w:r w:rsidRPr="00B523B4">
        <w:rPr>
          <w:sz w:val="32"/>
          <w:szCs w:val="32"/>
        </w:rPr>
        <w:t>знадворныя</w:t>
      </w:r>
      <w:proofErr w:type="spellEnd"/>
      <w:r w:rsidRPr="00B523B4">
        <w:rPr>
          <w:sz w:val="32"/>
          <w:szCs w:val="32"/>
        </w:rPr>
        <w:t xml:space="preserve"> </w:t>
      </w:r>
      <w:proofErr w:type="spellStart"/>
      <w:r w:rsidRPr="00B523B4">
        <w:rPr>
          <w:sz w:val="32"/>
          <w:szCs w:val="32"/>
        </w:rPr>
        <w:t>сеткі</w:t>
      </w:r>
      <w:proofErr w:type="spellEnd"/>
    </w:p>
    <w:p w:rsidR="0095574D" w:rsidRPr="00B523B4" w:rsidRDefault="0095574D">
      <w:pPr>
        <w:pStyle w:val="nonumheader"/>
        <w:rPr>
          <w:sz w:val="28"/>
          <w:szCs w:val="28"/>
          <w:lang w:val="en-US"/>
        </w:rPr>
      </w:pPr>
      <w:r w:rsidRPr="00B523B4">
        <w:rPr>
          <w:sz w:val="28"/>
          <w:szCs w:val="28"/>
          <w:lang w:val="en-US"/>
        </w:rPr>
        <w:t>SPECIFICATIONS OF THE EXPENSE OF RESOURCES</w:t>
      </w:r>
      <w:r w:rsidRPr="00B523B4">
        <w:rPr>
          <w:sz w:val="28"/>
          <w:szCs w:val="28"/>
          <w:lang w:val="en-US"/>
        </w:rPr>
        <w:br/>
        <w:t>IN NATURAL EXPRESSION</w:t>
      </w:r>
      <w:r w:rsidRPr="00B523B4">
        <w:rPr>
          <w:sz w:val="28"/>
          <w:szCs w:val="28"/>
          <w:lang w:val="en-US"/>
        </w:rPr>
        <w:br/>
        <w:t>for building constructions and works</w:t>
      </w:r>
      <w:r w:rsidRPr="00B523B4">
        <w:rPr>
          <w:sz w:val="28"/>
          <w:szCs w:val="28"/>
          <w:lang w:val="en-US"/>
        </w:rPr>
        <w:br/>
        <w:t>Miscellany 22</w:t>
      </w:r>
      <w:r w:rsidRPr="00B523B4">
        <w:rPr>
          <w:sz w:val="28"/>
          <w:szCs w:val="28"/>
          <w:lang w:val="en-US"/>
        </w:rPr>
        <w:br/>
        <w:t>Water supply – external devices</w:t>
      </w:r>
    </w:p>
    <w:p w:rsidR="0095574D" w:rsidRPr="00B523B4" w:rsidRDefault="0095574D">
      <w:pPr>
        <w:pStyle w:val="onestring"/>
      </w:pPr>
      <w:r w:rsidRPr="00B523B4">
        <w:rPr>
          <w:b/>
          <w:bCs/>
        </w:rPr>
        <w:t>Дата введения 202</w:t>
      </w:r>
      <w:r w:rsidR="00CA6627" w:rsidRPr="00B523B4">
        <w:rPr>
          <w:b/>
          <w:bCs/>
        </w:rPr>
        <w:t>6</w:t>
      </w:r>
      <w:r w:rsidRPr="00B523B4">
        <w:rPr>
          <w:b/>
          <w:bCs/>
        </w:rPr>
        <w:t>-05-01</w:t>
      </w:r>
    </w:p>
    <w:p w:rsidR="003056F9" w:rsidRPr="00B523B4" w:rsidRDefault="003056F9">
      <w:pPr>
        <w:pStyle w:val="nonumheader"/>
        <w:rPr>
          <w:sz w:val="28"/>
          <w:szCs w:val="28"/>
        </w:rPr>
      </w:pPr>
    </w:p>
    <w:p w:rsidR="0095574D" w:rsidRPr="00B523B4" w:rsidRDefault="0095574D">
      <w:pPr>
        <w:pStyle w:val="nonumheader"/>
        <w:rPr>
          <w:sz w:val="28"/>
          <w:szCs w:val="28"/>
        </w:rPr>
      </w:pPr>
      <w:r w:rsidRPr="00B523B4">
        <w:rPr>
          <w:sz w:val="28"/>
          <w:szCs w:val="28"/>
        </w:rPr>
        <w:t>ТЕХНИЧЕСКАЯ ЧАСТЬ</w:t>
      </w:r>
    </w:p>
    <w:p w:rsidR="0095574D" w:rsidRPr="00B523B4" w:rsidRDefault="0095574D">
      <w:pPr>
        <w:pStyle w:val="numheader"/>
        <w:rPr>
          <w:sz w:val="28"/>
          <w:szCs w:val="28"/>
        </w:rPr>
      </w:pPr>
      <w:r w:rsidRPr="00B523B4">
        <w:rPr>
          <w:sz w:val="28"/>
          <w:szCs w:val="28"/>
        </w:rPr>
        <w:t>1. ОБЩИЕ УКАЗАНИЯ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В настоящем Сборнике приведены нормативы на выполнение работ по строительству наружных сетей водопровода.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1.2. Нормативы предназначены для определения расходов на наружные сети водоснабжения при давлении до 2,5 МПа (25 атм), а также расходов на аналогичные трубопроводы другого назначения.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1.3. Расходы на прокладку стальных трубопроводов, организация строительства которых запроектирована методами, применяемыми при прокладке магистральных трубопроводов газонефтепродуктов, следует определять по нормативам Сборника 25 «Магистральные трубопроводы газонефтепродуктов».</w:t>
      </w:r>
    </w:p>
    <w:p w:rsidR="00182161" w:rsidRPr="00B523B4" w:rsidRDefault="0095574D" w:rsidP="00D33423">
      <w:pPr>
        <w:pStyle w:val="snoskiline"/>
        <w:ind w:firstLine="567"/>
        <w:rPr>
          <w:b/>
          <w:sz w:val="24"/>
          <w:szCs w:val="24"/>
        </w:rPr>
      </w:pPr>
      <w:r w:rsidRPr="00B523B4">
        <w:rPr>
          <w:b/>
          <w:sz w:val="24"/>
          <w:szCs w:val="24"/>
        </w:rPr>
        <w:t>1.4. В нормативах учтены расходы на выполнение комплекса работ основных, которые перечислены в «составе работ», а также вспомогательных, сопутствующих и связанных с основными (подноска и опускание материалов, очистка внутренних поверхностей труб от загрязнений, перестановка креплений при опускании труб, переходы рабочих в пределах рабочей зоны, проверка уклонов и др.).</w:t>
      </w:r>
      <w:r w:rsidR="00182161" w:rsidRPr="00B523B4">
        <w:rPr>
          <w:b/>
          <w:sz w:val="24"/>
          <w:szCs w:val="24"/>
        </w:rPr>
        <w:t xml:space="preserve"> </w:t>
      </w:r>
    </w:p>
    <w:p w:rsidR="00182161" w:rsidRPr="00B523B4" w:rsidRDefault="00182161" w:rsidP="00182161">
      <w:pPr>
        <w:pStyle w:val="snoskiline"/>
      </w:pPr>
      <w:r w:rsidRPr="00B523B4">
        <w:t>______________________________</w:t>
      </w:r>
    </w:p>
    <w:p w:rsidR="00182161" w:rsidRPr="00B523B4" w:rsidRDefault="00182161" w:rsidP="00182161">
      <w:pPr>
        <w:pStyle w:val="snoski"/>
        <w:spacing w:after="240"/>
      </w:pPr>
      <w:r w:rsidRPr="00B523B4">
        <w:t>* По тексту настоящего Сборника при ссылке на конкретный норматив применяется его полная нумерация (например, «Е22-1-1») или с указанием таблицы норматива – его сокращение (например, «Таблица 22-1 (норма 1)»).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lastRenderedPageBreak/>
        <w:t>Расходы на земляные работы, а также водоотлив (водопонижение) следует определять по нормативам Сборника 1 «Земляные работы».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Расходы на устройство искусственных оснований под трубопроводы следует определять по нормативам Сборника 23 «Канализация – наружные сети».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1.5. Нормативами таблиц 22-1 – 22-7, 22-10, 22-11 на укладку трубопроводов не учтены расходы на устройство постоянных упоров из сборного и монолитного железобетона, которые следует определять по Сборнику 6 «Бетонные и железобетонные конструкции монолитные» и Сборнику 7 «Бетонные и железобетонные конструкции сборные» в соответствии с проектной документацией объекта строительства.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При отсутствии данных о количестве упоров расходы на их устройство следует принимать по нормативам таблицы 22-50.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1.6. Расходы на подвеску существующих подземных коммуникаций при пересечении их трассой трубопроводов следует определять по нормативам таблицы 22-49.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1.7. В нормативах на прокладку трубопроводов из хризотилцементных, стеклопластиковых, чугунных, стальных (за исключением нормативов таблицы 22-72) и железобетонных труб и арматуры диаметры труб приведены по условному проходу.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В нормативах на прокладку трубопроводов из полиэтиленовых, поливинилхлоридных труб и арматуры и в нормативах таблицы 22-72 приведены наружные диаметры труб.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В случаях, когда проектной документацией объекта строительства предусматриваются трубы или арматура диаметром, отличающимся от приведенных, следует применять нормативы для труб или арматуры ближайшего диаметра.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 xml:space="preserve">В наименованиях нормативов на </w:t>
      </w:r>
      <w:proofErr w:type="spellStart"/>
      <w:r w:rsidRPr="00B523B4">
        <w:rPr>
          <w:b/>
        </w:rPr>
        <w:t>предрасширение</w:t>
      </w:r>
      <w:proofErr w:type="spellEnd"/>
      <w:r w:rsidRPr="00B523B4">
        <w:rPr>
          <w:b/>
        </w:rPr>
        <w:t xml:space="preserve"> скважины с последующим протаскиванием трубопровода из полиэтиленовых, стальных труб (таблица 22-68) приведены наружные диаметры труб. Расход труб учитывается в соответствующих нормативах на укладку трубопроводов настоящего Сборника.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1.8. В нормативах таблиц 22-8, 22-9 расходы на установку фасонных частей не учтены и определяются по нормативам таблицы 22-33.</w:t>
      </w:r>
      <w:r w:rsidR="00C97515" w:rsidRPr="00B523B4">
        <w:rPr>
          <w:b/>
        </w:rPr>
        <w:t xml:space="preserve"> В нормативах таблицы 22-11 расходы на установку фасонных частей не учтены и определяются по нормативам таблицы 22-34.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1.9. Расходы на прокладку трубопроводов на опорах и эстакадах определяются по нормативам таблиц 22-1 – 22-11. При этом для трубопроводов, укладываемых на высоте более 4 м, в случае необходимости, следует дополнительно учитывать расходы на устройство лесов, имея в виду их использование и для изоляционных работ, а при высоте более 5 м учитывать коэффициенты, приведенные в разделе 3 Технической части.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1.10. Применение нормативов на укладку труб с пневматическим испытанием допускается только в случаях, оговоренных в проектной документации объекта строительства.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1.11. В нормативах на антикоррозионную изоляцию стальных трубопроводов расходы на изоляцию фасонных частей учтены.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1.12. В случае, когда проектной документацией объекта строительства предусматривается поставка стальных труб с заводской изоляцией, расходы на антикоррозионную изоляцию стыков и фасонных частей следует определять по нормативам таблиц 22-15 – 22-17, 22-21 – 22-23, 22-28 – 22-30.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1.13. Расходы на битумную изоляцию железобетонных труб следует определять по нормативам Сборника 23 «Канализация – наружные сети».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1.14. В нормативах предусмотрена установка трубопроводной арматуры с ручным приводом. Расходы на установку арматуры с пневматическим, гидравлическим, электрическим и электромагнитным приводами независимо от ее диаметра следует определять по соответствующим Сборникам на монтаж оборудования.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1.15. В нормативах таблиц 22-35 и 22-36 учтено присоединение арматуры на фланцевых фасонных частях. При установке арматуры на трубопровод приварку ответных фланцев следует учитывать по нормативам таблицы 22-40.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lastRenderedPageBreak/>
        <w:t>1.16. Нормативы, приведенные в таблицах 22-41 – 22-43, предназначены для определения расходов на устройство колодцев по типовым проектам, а также колодцев аналогичной конструкции индивидуального проектирования общим объемом строительных конструкций на один колодец или камеру до 35 м</w:t>
      </w:r>
      <w:r w:rsidRPr="00B523B4">
        <w:rPr>
          <w:b/>
          <w:vertAlign w:val="superscript"/>
        </w:rPr>
        <w:t>3</w:t>
      </w:r>
      <w:r w:rsidRPr="00B523B4">
        <w:rPr>
          <w:b/>
        </w:rPr>
        <w:t>. Расходы на устройство колодцев или камер общим объемом строительных конструкций более 35 м</w:t>
      </w:r>
      <w:r w:rsidRPr="00B523B4">
        <w:rPr>
          <w:b/>
          <w:vertAlign w:val="superscript"/>
        </w:rPr>
        <w:t>3</w:t>
      </w:r>
      <w:r w:rsidRPr="00B523B4">
        <w:rPr>
          <w:b/>
        </w:rPr>
        <w:t xml:space="preserve"> следует определять по соответствующим нормативам.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1.17. В нормативах на колодцы принята арматура, приведенная к стали класса А-1(S240).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1.18. Расходы на устройство колодцев в просадочных грунтах следует определять по нормативам на строительство аналогичных колодцев в мокрых грунтах с добавлением расходов на: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уплотнение грунта в основании колодца, нормируемого по нормативам Сборника 1 «Земляные работы»;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устройство водоупорного замка из глины, нормируемого по нормативам Сборника 8 «Конструкции из кирпича и блоков».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1.19. Нормативами таблиц 22-45 и 22-46 предусмотрено ведение работ по бестраншейной прокладке труб (футляров) в грунтах 2 группы, а при ведении работ в грунтах 1 и 3 групп применяются коэффициенты, приведенные в разделе 3 Технической части.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Расходы на земляные работы по устройству рабочего и выходного котлованов и устройство упорной стенки следует определять по соответствующим нормативам.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1.20. Расходы на укладку футляров из стальных или железобетонных труб в открытых траншеях следует определять по нормативам на укладку соответствующих труб.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1.21. Расходы на электрохимическую защиту стальных трубопроводов следует определять дополнительно по нормативам Сборника 25 «Магистральные трубопроводы газонефтепродуктов».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1.22. Расходы на устройство вводов водопровода от наружной стены до первого колодца учтены нормативами Сборника 16 «Трубопроводы внутренние».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1.23. Расходы на устройство принудительной вентиляции при продавливании стальных труб с разработкой грунта вручную на длину 10 м и более следует учитывать дополнительно в соответствии с проектной документацией объекта строительства.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1.24. Нормативами таблиц 22-41 – 22-43 учтены расходы на установку люков и металлических стремянок.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Марку и массу металлических стремянок следует учитывать дополнительно по проектным данным.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 xml:space="preserve">1.25. Количество сварных стыков, подлежащих проверке качества сварных соединений, берется по проектной документации объекта строительства в соответствии с действующими нормативными документами. Расходы на производство работ по проверке качества сварных соединений физическими методами (просвечивание гамма-лучами, </w:t>
      </w:r>
      <w:proofErr w:type="spellStart"/>
      <w:r w:rsidRPr="00B523B4">
        <w:rPr>
          <w:b/>
        </w:rPr>
        <w:t>магнитографирование</w:t>
      </w:r>
      <w:proofErr w:type="spellEnd"/>
      <w:r w:rsidRPr="00B523B4">
        <w:rPr>
          <w:b/>
        </w:rPr>
        <w:t xml:space="preserve"> и др.) определяются по нормативам Сборника 25 «Магистральные трубопроводы газонефтепродуктов».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1.26.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1.27. Нормативами таблицы 22-69 в том числе учтены расходы на первые 23 м проходки при использовании тоннелепроходческого щита диаметром 2000 мм и на первые 18,5 м при использовании тоннелепроходческих щитов диаметром 1200 мм или 1000 мм.</w:t>
      </w:r>
    </w:p>
    <w:p w:rsidR="006519A2" w:rsidRPr="00B523B4" w:rsidRDefault="0095574D">
      <w:pPr>
        <w:pStyle w:val="underpoint"/>
        <w:rPr>
          <w:b/>
        </w:rPr>
      </w:pPr>
      <w:r w:rsidRPr="00B523B4">
        <w:rPr>
          <w:b/>
        </w:rPr>
        <w:t>1.28. Нормативами таблицы 22-71 в том числе учтены расходы на 12 м проходки при использовании тоннелепроходческого щита диаметром 2000 мм и на 6,5 м при использовании тоннелепроходческих щитов диаметром 1200 мм или 1000 мм.</w:t>
      </w:r>
      <w:r w:rsidR="006519A2" w:rsidRPr="00B523B4">
        <w:rPr>
          <w:b/>
        </w:rPr>
        <w:br w:type="page"/>
      </w:r>
    </w:p>
    <w:p w:rsidR="00182161" w:rsidRPr="00B523B4" w:rsidRDefault="00182161" w:rsidP="001821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523B4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1.29. В нормативах сборника не учтены:</w:t>
      </w:r>
    </w:p>
    <w:p w:rsidR="00B523B4" w:rsidRPr="00B523B4" w:rsidRDefault="00B523B4" w:rsidP="00B52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B523B4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B523B4" w:rsidRPr="00B523B4" w:rsidRDefault="00B523B4" w:rsidP="00B52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523B4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B523B4" w:rsidRPr="00B523B4" w:rsidRDefault="00B523B4" w:rsidP="00B52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523B4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182161" w:rsidRPr="00B523B4" w:rsidRDefault="00182161" w:rsidP="00182161">
      <w:pPr>
        <w:pStyle w:val="underpoint"/>
        <w:rPr>
          <w:b/>
        </w:rPr>
      </w:pPr>
    </w:p>
    <w:p w:rsidR="00182161" w:rsidRPr="00B523B4" w:rsidRDefault="00182161" w:rsidP="00182161">
      <w:pPr>
        <w:pStyle w:val="underpoint"/>
        <w:spacing w:after="120"/>
        <w:jc w:val="left"/>
        <w:rPr>
          <w:b/>
        </w:rPr>
      </w:pPr>
      <w:r w:rsidRPr="00B523B4">
        <w:rPr>
          <w:b/>
        </w:rPr>
        <w:t xml:space="preserve">Таблица 1 – </w:t>
      </w:r>
      <w:r w:rsidR="00B523B4" w:rsidRPr="00B523B4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2348"/>
        <w:gridCol w:w="2348"/>
      </w:tblGrid>
      <w:tr w:rsidR="006519A2" w:rsidRPr="00B523B4" w:rsidTr="00B523B4">
        <w:trPr>
          <w:trHeight w:val="765"/>
        </w:trPr>
        <w:tc>
          <w:tcPr>
            <w:tcW w:w="5282" w:type="dxa"/>
            <w:shd w:val="clear" w:color="auto" w:fill="auto"/>
            <w:noWrap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6519A2" w:rsidRPr="00B523B4" w:rsidTr="00B523B4">
        <w:trPr>
          <w:trHeight w:val="164"/>
        </w:trPr>
        <w:tc>
          <w:tcPr>
            <w:tcW w:w="5282" w:type="dxa"/>
            <w:shd w:val="clear" w:color="auto" w:fill="auto"/>
            <w:noWrap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8" w:type="dxa"/>
            <w:shd w:val="clear" w:color="auto" w:fill="auto"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(7,8,9), 22-65 (6,7)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22-41 (2), 22-42 (2,4), 22-43 (2,4)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20.6</w:t>
            </w:r>
          </w:p>
        </w:tc>
      </w:tr>
      <w:tr w:rsidR="006519A2" w:rsidRPr="00B523B4" w:rsidTr="00B523B4">
        <w:trPr>
          <w:trHeight w:val="387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22-12 (1,2,5,6), 22-13 (1,2,3,4,5,6,7,8), 22-14 (1,2,3,4,5,6,7,8), 22-18 (1,2,5,6), 22-19 (1,2,3,4,5,6,7,8), 22-20 (1,2,3,4,5,6,7,8), 22-26 (1)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22-41 (1), 22-50 (1,2,3,6)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00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B5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22-12 (3,4,7,8), 22-18 (3,4,7,8), 22-25 (1,2), 22-26 (2,3,4), 22-27 (1)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22-42 (3), 22-43 (1,3), 22-50 (4), 22-65 (5)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419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B5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22-8 (6,8,9,17,18,19,20,21), 22-9 (6,17,18,19,20,21), 22-67 (11,12,21,22), 22-68 </w:t>
            </w:r>
            <w:r w:rsidR="006519A2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1,2,3,4,5,6,7,8,9,10,26,27,28,29,30,36,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37,38,39,40,41,42,43,56,57,58,59)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24.7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22-9 (1,2)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33.1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22-25 (3,4), 22-27 (4), 22-98 (1,3)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(5), 22-65 (1,2,3,4)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579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(7,10,15,16,22), 22-9 (7,8,9,10,15,16,22), 22-68 (11,12,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13,14,15,16,17,18,19,20,21,22,23,24,25,31,32,33,34,35,44,45,46,47,48,49,50,51,52,53,54,55,60,61,62,63,201,202)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24.5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(5), 22-9 (3,4,5)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22-98 (2,4,5)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22-42 (1)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03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(13,14), 22-68 (101,102,103,104,105,106,203,204,205,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206,207,208)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24.3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(4)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36.1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22-27 (2,3), 22-98 (6)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</w:tbl>
    <w:p w:rsidR="00B523B4" w:rsidRPr="00B523B4" w:rsidRDefault="00B523B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23B4">
        <w:rPr>
          <w:b/>
        </w:rPr>
        <w:br w:type="page"/>
      </w:r>
    </w:p>
    <w:p w:rsidR="00B523B4" w:rsidRPr="00B523B4" w:rsidRDefault="00B523B4" w:rsidP="00B523B4">
      <w:pPr>
        <w:pStyle w:val="underpoint"/>
        <w:spacing w:after="120"/>
        <w:jc w:val="right"/>
        <w:rPr>
          <w:b/>
        </w:rPr>
      </w:pPr>
      <w:r w:rsidRPr="00B523B4">
        <w:rPr>
          <w:b/>
        </w:rPr>
        <w:lastRenderedPageBreak/>
        <w:t>Продолжение таблицы 1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2348"/>
        <w:gridCol w:w="2348"/>
      </w:tblGrid>
      <w:tr w:rsidR="00B523B4" w:rsidRPr="00B523B4" w:rsidTr="00B523B4">
        <w:trPr>
          <w:trHeight w:val="255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523B4" w:rsidRPr="00B523B4" w:rsidTr="00B523B4">
        <w:trPr>
          <w:trHeight w:val="255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(13)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22-9 (13,14), 22-68 (209,210)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26.4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(2,3,11,12), 22-9 (11,12)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31.4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22-98 (7)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(11,12)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22-68 (211,212,213,214)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23.4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(10)</w:t>
            </w:r>
          </w:p>
        </w:tc>
        <w:tc>
          <w:tcPr>
            <w:tcW w:w="2348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(1)</w:t>
            </w:r>
          </w:p>
        </w:tc>
        <w:tc>
          <w:tcPr>
            <w:tcW w:w="2348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33.6</w:t>
            </w:r>
          </w:p>
        </w:tc>
      </w:tr>
      <w:tr w:rsidR="006519A2" w:rsidRPr="00B523B4" w:rsidTr="00B523B4">
        <w:trPr>
          <w:trHeight w:val="255"/>
        </w:trPr>
        <w:tc>
          <w:tcPr>
            <w:tcW w:w="5282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22-50 (14,15)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B523B4" w:rsidRPr="00B523B4" w:rsidRDefault="00B523B4" w:rsidP="0018216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161" w:rsidRPr="00B523B4" w:rsidRDefault="00182161" w:rsidP="0018216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B4">
        <w:rPr>
          <w:rFonts w:ascii="Times New Roman" w:hAnsi="Times New Roman" w:cs="Times New Roman"/>
          <w:b/>
          <w:sz w:val="24"/>
          <w:szCs w:val="24"/>
        </w:rPr>
        <w:t xml:space="preserve">Таблица 2 – </w:t>
      </w:r>
      <w:r w:rsidR="00B523B4" w:rsidRPr="00B523B4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6519A2" w:rsidRPr="00B523B4" w:rsidTr="00B523B4">
        <w:trPr>
          <w:trHeight w:val="1155"/>
        </w:trPr>
        <w:tc>
          <w:tcPr>
            <w:tcW w:w="5248" w:type="dxa"/>
            <w:shd w:val="clear" w:color="auto" w:fill="auto"/>
            <w:noWrap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6519A2" w:rsidRPr="00B523B4" w:rsidRDefault="006519A2" w:rsidP="0065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0F18C4"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182161" w:rsidRPr="00B523B4" w:rsidTr="00B523B4">
        <w:trPr>
          <w:trHeight w:val="71"/>
        </w:trPr>
        <w:tc>
          <w:tcPr>
            <w:tcW w:w="5248" w:type="dxa"/>
            <w:shd w:val="clear" w:color="auto" w:fill="auto"/>
            <w:noWrap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3" w:type="dxa"/>
            <w:shd w:val="clear" w:color="auto" w:fill="auto"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3" w:type="dxa"/>
            <w:shd w:val="clear" w:color="auto" w:fill="auto"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22-6, 22-10 (4,6,7,8,9,401,402,601,602,701,702,801,802,901,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902), 22-11, 22-37, 22-64, 22-65, 22-69 (1,2,3,4,5,6), 22-71 (2,3), 22-98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22-10 (1,2,101,102,201,202), 22-12 (1,2,3,4,5,6,7,8,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9,10,11,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17,18), 22-13 (1), 22-14, 22-16 (1), 22-17 (1,2,3), 22-19 (1,2), 22-20, 22-22 (1), 22-23 (1,2,3,14,15,16,17,18), 22-27 (2,3,4,5,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6,7,8,9,10,11,12,13,14,15,16,17,18,19), 22-30, 22-42 (2,4), 22-43 (2), 22-48 (1,2,3)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22-69 (8,9)</w:t>
            </w:r>
          </w:p>
        </w:tc>
        <w:tc>
          <w:tcPr>
            <w:tcW w:w="2333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22-44</w:t>
            </w:r>
          </w:p>
        </w:tc>
        <w:tc>
          <w:tcPr>
            <w:tcW w:w="2333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(14,16), 22-12 (12,13,14,15,16), 22-13 (2,3,4,5,6,7,8,9,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10,11,12,13,14,15,16,17,18), 22-15 (1), 22-16 (2,3,5,11,13,14,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15,16,17,18), 22-17 (4,5,10,11,12,13,14,15,16,17,18), 22-18 (1,2,5), 22-19 (3,4,5,6,7,8,9,10,11,12,13,14,15,16,17,18), 22-21 (1,2), 22-22 (2,3,4,5,10,11,12,13,14,15,16,17,18), 22-23 (4,5,6,7,8,9,10,11,12,13), 22-24 (2,5), 22-26 (2,3,4,5,6,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7,8,9,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10,11,12,13,14,15,16,17,18,19), 22-27 (1), 22-29, 22-41 (2), 22-43 (4), 22-48 (4,5,6)</w:t>
            </w:r>
          </w:p>
        </w:tc>
        <w:tc>
          <w:tcPr>
            <w:tcW w:w="2333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22-51, 22-55</w:t>
            </w:r>
          </w:p>
        </w:tc>
        <w:tc>
          <w:tcPr>
            <w:tcW w:w="2333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(4,6,12,13,15,17,18,19,20,21), 22-9 (4,13,14,15,16,17), 22-15 (2,3,4,5,11,13,14,15,16,17,18), 22-16 (6,7,8,9,10,12), 22-17 (6,7,8,9), 22-18 (3,4,6,7,8,9,10,11,12,13,14,15,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16,17,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18), 22-21 (3,4,5,10,11,12,13,14,15,16,17,18), 22-22 (6,7,8,9), 22-24 (1,4), 22-26 (1), 22-49 (1,2)</w:t>
            </w:r>
          </w:p>
        </w:tc>
        <w:tc>
          <w:tcPr>
            <w:tcW w:w="2333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22-54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</w:tr>
    </w:tbl>
    <w:p w:rsidR="00B523B4" w:rsidRPr="00B523B4" w:rsidRDefault="00B523B4"/>
    <w:p w:rsidR="00B523B4" w:rsidRPr="00B523B4" w:rsidRDefault="00B523B4">
      <w:r w:rsidRPr="00B523B4">
        <w:br w:type="page"/>
      </w:r>
    </w:p>
    <w:p w:rsidR="00B523B4" w:rsidRPr="00B523B4" w:rsidRDefault="00B523B4" w:rsidP="00B523B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23B4">
        <w:rPr>
          <w:rFonts w:ascii="Times New Roman" w:hAnsi="Times New Roman" w:cs="Times New Roman"/>
          <w:b/>
          <w:sz w:val="24"/>
          <w:szCs w:val="24"/>
        </w:rPr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B523B4" w:rsidRPr="00B523B4" w:rsidTr="00B523B4">
        <w:trPr>
          <w:trHeight w:val="283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523B4" w:rsidRPr="00B523B4" w:rsidTr="00B523B4">
        <w:trPr>
          <w:trHeight w:val="283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3B4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22-8 (5,7,8,9,10,11,22), 22-9 (5,6,7,8,9,10,11,12,18,19,20,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21,22), 22-10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(3,5,301,302,501,502), 22-15 (6,7,8,9,10,12), 22-21 (6,7,8,9), 22-24 (3,6), 22-25 (4,5,6,7,8,9,10,11,12,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</w:t>
            </w:r>
            <w:r w:rsidR="00B523B4"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14,15,16,17,18,19), 22-28 (3,4,5,6,7,8,9,10,11,12,13,14,15,16,17,18,19), 22-49 (3,4), 22-72 (7,8,9,10,15,16,17,18)</w:t>
            </w:r>
          </w:p>
        </w:tc>
        <w:tc>
          <w:tcPr>
            <w:tcW w:w="2333" w:type="dxa"/>
            <w:vAlign w:val="center"/>
            <w:hideMark/>
          </w:tcPr>
          <w:p w:rsidR="00182161" w:rsidRPr="00B523B4" w:rsidRDefault="00B523B4" w:rsidP="00B5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22-71 (7,8)</w:t>
            </w:r>
          </w:p>
        </w:tc>
        <w:tc>
          <w:tcPr>
            <w:tcW w:w="2333" w:type="dxa"/>
            <w:vMerge w:val="restart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22-16 (4), 22-25 (1,2,3), 22-28 (1,2), 22-72 (4,5,6,12,13,14)</w:t>
            </w:r>
          </w:p>
        </w:tc>
        <w:tc>
          <w:tcPr>
            <w:tcW w:w="2333" w:type="dxa"/>
            <w:vMerge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22-72 (3,11)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82161" w:rsidRPr="00B523B4" w:rsidTr="00B523B4">
        <w:trPr>
          <w:trHeight w:val="283"/>
        </w:trPr>
        <w:tc>
          <w:tcPr>
            <w:tcW w:w="5248" w:type="dxa"/>
            <w:shd w:val="clear" w:color="auto" w:fill="auto"/>
            <w:hideMark/>
          </w:tcPr>
          <w:p w:rsidR="00182161" w:rsidRPr="00B523B4" w:rsidRDefault="00182161" w:rsidP="00182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22-70 (13,14)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:rsidR="00182161" w:rsidRPr="00B523B4" w:rsidRDefault="00182161" w:rsidP="0018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2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6519A2" w:rsidRPr="00B523B4" w:rsidRDefault="00B523B4" w:rsidP="006519A2">
      <w:pPr>
        <w:pStyle w:val="numheader"/>
        <w:spacing w:after="0"/>
        <w:ind w:firstLine="567"/>
        <w:jc w:val="both"/>
        <w:rPr>
          <w:bCs w:val="0"/>
        </w:rPr>
      </w:pPr>
      <w:bookmarkStart w:id="1" w:name="_Hlk183792895"/>
      <w:r w:rsidRPr="00B523B4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B523B4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6519A2" w:rsidRPr="00B523B4">
        <w:rPr>
          <w:bCs w:val="0"/>
        </w:rPr>
        <w:t xml:space="preserve"> </w:t>
      </w:r>
      <w:proofErr w:type="spellStart"/>
      <w:r w:rsidR="006519A2" w:rsidRPr="00B523B4">
        <w:rPr>
          <w:bCs w:val="0"/>
        </w:rPr>
        <w:t>автобитумовозы</w:t>
      </w:r>
      <w:proofErr w:type="spellEnd"/>
      <w:r w:rsidR="006519A2" w:rsidRPr="00B523B4">
        <w:rPr>
          <w:bCs w:val="0"/>
        </w:rPr>
        <w:t>, бадьи, вибратор, машины поливомоечные, машины шлифовальные, средства малой механизации, т</w:t>
      </w:r>
      <w:r w:rsidRPr="00B523B4">
        <w:rPr>
          <w:bCs w:val="0"/>
        </w:rPr>
        <w:t>р</w:t>
      </w:r>
      <w:r w:rsidR="006519A2" w:rsidRPr="00B523B4">
        <w:rPr>
          <w:bCs w:val="0"/>
        </w:rPr>
        <w:t>амбовки, тракторы, установки для подогрева стыков, электрические печи для сушки сварочных материалов и др.</w:t>
      </w:r>
    </w:p>
    <w:p w:rsidR="00182161" w:rsidRPr="00B523B4" w:rsidRDefault="00B523B4" w:rsidP="00B523B4">
      <w:pPr>
        <w:pStyle w:val="numheader"/>
        <w:spacing w:before="0" w:after="0"/>
        <w:ind w:firstLine="567"/>
        <w:jc w:val="both"/>
        <w:rPr>
          <w:b w:val="0"/>
        </w:rPr>
      </w:pPr>
      <w:bookmarkStart w:id="2" w:name="_Hlk183792908"/>
      <w:r w:rsidRPr="00B523B4">
        <w:rPr>
          <w:bCs w:val="0"/>
        </w:rPr>
        <w:t>Затраты на вспомогательные материалы учитывают затраты</w:t>
      </w:r>
      <w:bookmarkEnd w:id="2"/>
      <w:r w:rsidRPr="00B523B4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B523B4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B523B4">
        <w:rPr>
          <w:bCs w:val="0"/>
        </w:rPr>
        <w:t>):</w:t>
      </w:r>
      <w:r w:rsidR="006519A2" w:rsidRPr="00B523B4">
        <w:t xml:space="preserve"> асбестовый шнур, бензин, битумы, бруски, ветошь, вода, гвозди, головки для пожарных рукавов, кислород технический, круги отрезные, круги шлифовальные, лента сигнальная , лесоматериалы круглые, льняная прядь, мыло, олифа, пакля, пластины резиновые технические, проволока сварочная, рубероид, смазка, смесь пропана и бутана технических, сода кальцинированная, спирт технический, ткань мешочная, уайт-спирит, угольники прямые, шкурка шлифовальная, щиты из досок и др.</w:t>
      </w:r>
    </w:p>
    <w:p w:rsidR="008576CF" w:rsidRPr="00B523B4" w:rsidRDefault="008576CF">
      <w:pPr>
        <w:pStyle w:val="underpoint"/>
        <w:rPr>
          <w:b/>
        </w:rPr>
      </w:pPr>
    </w:p>
    <w:p w:rsidR="0095574D" w:rsidRPr="00B523B4" w:rsidRDefault="0095574D">
      <w:pPr>
        <w:pStyle w:val="numheader"/>
        <w:rPr>
          <w:sz w:val="28"/>
          <w:szCs w:val="28"/>
        </w:rPr>
      </w:pPr>
      <w:r w:rsidRPr="00B523B4">
        <w:rPr>
          <w:sz w:val="28"/>
          <w:szCs w:val="28"/>
        </w:rPr>
        <w:t>2. ПРАВИЛА ОПРЕДЕЛЕНИЯ ОБЪЕМОВ РАБОТ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2.1. Объем работ по прокладке трубопроводов и антикоррозионной изоляции следует определять по всей проектной длине трубопроводов за вычетом длины, занимаемой фасонными частями, арматурой.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2.2. Массу стальных фасонных частей следует определять согласно спецификации к проектной документации объекта строительства без учета массы фланцев. Количество фланцев учитывается отдельно, также согласно спецификации.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2.3. Нормативы таблицы 22-41 на устройство круглых колодцев из сборного железобетона предусматривают колодцы, состоящие из колец, плит покрытий и днищ, колец горловины и опорного кольца.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Нормативы таблицы 22-42 на устройство кирпичных колодцев предусматривают колодцы, состоящие из монолитного железобетонного или бетонного днища, кирпичных стен и горловины, плит покрытия и днищ сборных железобетонных, а нормативы таблицы 22-43 на устройство бетонных колодцев с монолитными стенами и покрытием из сборного железобетона предусматривают колодцы, состоящие из железобетонных и бетонных днищ, стен, плит покрытий и днищ, колец горловины.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Бетон, необходимый на заделку отверстий, устройство упоров и опор для установки трубопроводной арматуры, а также объем бетонной подготовки в мокрых грунтах нормами учтены и включению в объем основных конструкций водопроводных колодцев не подлежат.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2.4. При наличии в проектной документации объекта строительства указаний об установке в колодцах вторых крышек их следует учитывать дополнительно.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2.5. Расходы на устройство отмостки вокруг колодцев в случаях, предусмотренных проектной документацией объекта строительства, следует определять по нормативам Сборника 27 «Автомобильные дороги».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lastRenderedPageBreak/>
        <w:t>2.6. Объем работ по разработке грунта в забое при помощи проходческого комплекса с использованием тоннелепроходческих щитов (таблица 22-70) следует определять по проектной длине тоннеля за вычетом 23 м для щита диаметром 2000 мм и 18,5 м для щитов диаметром 1200 мм и 1000 мм на каждый процесс монтажа и, соответственно, 12 м и 6,5 м на каждый процесс демонтажа.</w:t>
      </w:r>
    </w:p>
    <w:p w:rsidR="0095574D" w:rsidRPr="00B523B4" w:rsidRDefault="0095574D">
      <w:pPr>
        <w:pStyle w:val="underpoint"/>
        <w:rPr>
          <w:b/>
        </w:rPr>
      </w:pPr>
      <w:r w:rsidRPr="00B523B4">
        <w:rPr>
          <w:b/>
        </w:rPr>
        <w:t>2.7. В нормативах Е22-67-11, Е22-67-12, Е22-67-21, Е22-67-22, Е22-68-101 – Е22-68-106, Е22-68-201 – Е22-68-214 количество компонента бурового раствора (бентонита, полимера) определяется по формуле: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 </w:t>
      </w:r>
    </w:p>
    <w:p w:rsidR="0095574D" w:rsidRPr="00B523B4" w:rsidRDefault="0095574D">
      <w:pPr>
        <w:pStyle w:val="newncpi0"/>
        <w:jc w:val="center"/>
        <w:rPr>
          <w:b/>
        </w:rPr>
      </w:pPr>
      <w:proofErr w:type="spellStart"/>
      <w:r w:rsidRPr="00B523B4">
        <w:rPr>
          <w:b/>
        </w:rPr>
        <w:t>mк</w:t>
      </w:r>
      <w:proofErr w:type="spellEnd"/>
      <w:r w:rsidRPr="00B523B4">
        <w:rPr>
          <w:b/>
        </w:rPr>
        <w:t xml:space="preserve"> = </w:t>
      </w:r>
      <w:proofErr w:type="spellStart"/>
      <w:r w:rsidRPr="00B523B4">
        <w:rPr>
          <w:b/>
        </w:rPr>
        <w:t>Vбр</w:t>
      </w:r>
      <w:proofErr w:type="spellEnd"/>
      <w:r w:rsidRPr="00B523B4">
        <w:rPr>
          <w:b/>
        </w:rPr>
        <w:t> х </w:t>
      </w:r>
      <w:proofErr w:type="spellStart"/>
      <w:r w:rsidRPr="00B523B4">
        <w:rPr>
          <w:b/>
        </w:rPr>
        <w:t>Ск</w:t>
      </w:r>
      <w:proofErr w:type="spellEnd"/>
      <w:r w:rsidRPr="00B523B4">
        <w:rPr>
          <w:b/>
        </w:rPr>
        <w:t>,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 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где:</w:t>
      </w:r>
    </w:p>
    <w:p w:rsidR="0095574D" w:rsidRPr="00B523B4" w:rsidRDefault="0095574D">
      <w:pPr>
        <w:pStyle w:val="newncpi"/>
        <w:rPr>
          <w:b/>
        </w:rPr>
      </w:pPr>
      <w:proofErr w:type="spellStart"/>
      <w:r w:rsidRPr="00B523B4">
        <w:rPr>
          <w:b/>
        </w:rPr>
        <w:t>mк</w:t>
      </w:r>
      <w:proofErr w:type="spellEnd"/>
      <w:r w:rsidRPr="00B523B4">
        <w:rPr>
          <w:b/>
        </w:rPr>
        <w:t> – количество компонента бурового раствора, кг(л);</w:t>
      </w:r>
    </w:p>
    <w:p w:rsidR="0095574D" w:rsidRPr="00B523B4" w:rsidRDefault="0095574D">
      <w:pPr>
        <w:pStyle w:val="newncpi"/>
        <w:rPr>
          <w:b/>
        </w:rPr>
      </w:pPr>
      <w:proofErr w:type="spellStart"/>
      <w:r w:rsidRPr="00B523B4">
        <w:rPr>
          <w:b/>
        </w:rPr>
        <w:t>Vбр</w:t>
      </w:r>
      <w:proofErr w:type="spellEnd"/>
      <w:r w:rsidRPr="00B523B4">
        <w:rPr>
          <w:b/>
        </w:rPr>
        <w:t> – объем бурового раствора, м</w:t>
      </w:r>
      <w:r w:rsidRPr="00B523B4">
        <w:rPr>
          <w:b/>
          <w:vertAlign w:val="superscript"/>
        </w:rPr>
        <w:t>3</w:t>
      </w:r>
      <w:r w:rsidRPr="00B523B4">
        <w:rPr>
          <w:b/>
        </w:rPr>
        <w:t>, рассчитывается по формуле:</w:t>
      </w:r>
    </w:p>
    <w:p w:rsidR="00B523B4" w:rsidRPr="00B523B4" w:rsidRDefault="00B523B4">
      <w:pPr>
        <w:pStyle w:val="newncpi0"/>
        <w:jc w:val="center"/>
        <w:rPr>
          <w:b/>
        </w:rPr>
      </w:pPr>
    </w:p>
    <w:p w:rsidR="0095574D" w:rsidRPr="00B523B4" w:rsidRDefault="0095574D">
      <w:pPr>
        <w:pStyle w:val="newncpi0"/>
        <w:jc w:val="center"/>
        <w:rPr>
          <w:b/>
        </w:rPr>
      </w:pPr>
      <w:proofErr w:type="spellStart"/>
      <w:r w:rsidRPr="00B523B4">
        <w:rPr>
          <w:b/>
        </w:rPr>
        <w:t>Vбр</w:t>
      </w:r>
      <w:proofErr w:type="spellEnd"/>
      <w:r w:rsidRPr="00B523B4">
        <w:rPr>
          <w:b/>
        </w:rPr>
        <w:t xml:space="preserve"> = </w:t>
      </w:r>
      <w:r w:rsidRPr="00B523B4">
        <w:rPr>
          <w:rStyle w:val="onesymbol"/>
          <w:b/>
        </w:rPr>
        <w:t></w:t>
      </w:r>
      <w:r w:rsidR="001B50D5" w:rsidRPr="00B523B4">
        <w:rPr>
          <w:rStyle w:val="onesymbol"/>
          <w:b/>
        </w:rPr>
        <w:t></w:t>
      </w:r>
      <w:r w:rsidR="001B50D5" w:rsidRPr="00B523B4">
        <w:rPr>
          <w:b/>
        </w:rPr>
        <w:t xml:space="preserve">х </w:t>
      </w:r>
      <w:r w:rsidRPr="00B523B4">
        <w:rPr>
          <w:b/>
        </w:rPr>
        <w:t>d</w:t>
      </w:r>
      <w:r w:rsidRPr="00B523B4">
        <w:rPr>
          <w:b/>
          <w:vertAlign w:val="superscript"/>
        </w:rPr>
        <w:t>2</w:t>
      </w:r>
      <w:r w:rsidRPr="00B523B4">
        <w:rPr>
          <w:b/>
        </w:rPr>
        <w:t xml:space="preserve">/4 х (L + </w:t>
      </w:r>
      <w:r w:rsidRPr="00B523B4">
        <w:rPr>
          <w:rStyle w:val="onesymbol"/>
          <w:b/>
        </w:rPr>
        <w:t></w:t>
      </w:r>
      <w:r w:rsidRPr="00B523B4">
        <w:rPr>
          <w:b/>
        </w:rPr>
        <w:t>) х </w:t>
      </w:r>
      <w:proofErr w:type="spellStart"/>
      <w:r w:rsidRPr="00B523B4">
        <w:rPr>
          <w:b/>
        </w:rPr>
        <w:t>Кр</w:t>
      </w:r>
      <w:proofErr w:type="spellEnd"/>
      <w:r w:rsidRPr="00B523B4">
        <w:rPr>
          <w:b/>
        </w:rPr>
        <w:t>,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 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где: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>d – диаметр буровой головки равный 110 мм для нормативов Е22-67-11, Е22-67-12, Е22-67-21, Е22-67-22;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b/>
        </w:rPr>
        <w:t xml:space="preserve">d – наибольший диаметр расширения скважины (бурового канала), мм, принимается по таблице </w:t>
      </w:r>
      <w:r w:rsidR="00182161" w:rsidRPr="00B523B4">
        <w:rPr>
          <w:b/>
        </w:rPr>
        <w:t>3</w:t>
      </w:r>
      <w:r w:rsidRPr="00B523B4">
        <w:rPr>
          <w:b/>
        </w:rPr>
        <w:t xml:space="preserve"> для нормативов Е22-68-101 – Е22-68-106, Е22-68-201 – Е22-68-214.</w:t>
      </w:r>
    </w:p>
    <w:p w:rsidR="0095574D" w:rsidRPr="00B523B4" w:rsidRDefault="0095574D" w:rsidP="00C60AD6">
      <w:pPr>
        <w:pStyle w:val="newncpi"/>
        <w:spacing w:before="120" w:after="120"/>
        <w:jc w:val="right"/>
      </w:pPr>
      <w:r w:rsidRPr="00B523B4">
        <w:t> </w:t>
      </w:r>
      <w:r w:rsidRPr="00B523B4">
        <w:rPr>
          <w:b/>
          <w:bCs/>
        </w:rPr>
        <w:t xml:space="preserve">Таблица </w:t>
      </w:r>
      <w:r w:rsidR="00182161" w:rsidRPr="00B523B4">
        <w:rPr>
          <w:b/>
          <w:bCs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607"/>
        <w:gridCol w:w="3755"/>
      </w:tblGrid>
      <w:tr w:rsidR="0095574D" w:rsidRPr="00B523B4">
        <w:trPr>
          <w:trHeight w:val="240"/>
        </w:trPr>
        <w:tc>
          <w:tcPr>
            <w:tcW w:w="12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Диаметр протаскиваемого трубопровода</w:t>
            </w:r>
          </w:p>
        </w:tc>
        <w:tc>
          <w:tcPr>
            <w:tcW w:w="371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Наибольший диаметр расширения скважины (бурового канала), мм, для установок ГНБ</w:t>
            </w:r>
          </w:p>
        </w:tc>
      </w:tr>
      <w:tr w:rsidR="0095574D" w:rsidRPr="00B523B4" w:rsidTr="00C60AD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с тяговым усилием до 12 тс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с тяговым усилием до 25 тс</w:t>
            </w:r>
          </w:p>
        </w:tc>
      </w:tr>
      <w:tr w:rsidR="00C60AD6" w:rsidRPr="00B523B4" w:rsidTr="00C60AD6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От 100 до 200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250 мм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300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200 до 300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400 мм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450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300 до 400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600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400 до 500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700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500 до 600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850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600 до 700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950 мм</w:t>
            </w:r>
          </w:p>
        </w:tc>
      </w:tr>
      <w:tr w:rsidR="0095574D" w:rsidRPr="00B523B4" w:rsidTr="00C60AD6">
        <w:trPr>
          <w:trHeight w:val="240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Св. 700 до 800 мм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1125 мм</w:t>
            </w:r>
          </w:p>
        </w:tc>
      </w:tr>
    </w:tbl>
    <w:p w:rsidR="0095574D" w:rsidRPr="00B523B4" w:rsidRDefault="0095574D" w:rsidP="00F5331B">
      <w:pPr>
        <w:pStyle w:val="newncpi"/>
        <w:spacing w:before="120"/>
        <w:rPr>
          <w:b/>
        </w:rPr>
      </w:pPr>
      <w:r w:rsidRPr="00B523B4">
        <w:t> </w:t>
      </w:r>
      <w:r w:rsidRPr="00B523B4">
        <w:rPr>
          <w:b/>
        </w:rPr>
        <w:t>L – расчетная длина скважины по профилю перехода, м;</w:t>
      </w:r>
    </w:p>
    <w:p w:rsidR="0095574D" w:rsidRPr="00B523B4" w:rsidRDefault="0095574D">
      <w:pPr>
        <w:pStyle w:val="newncpi"/>
        <w:rPr>
          <w:b/>
        </w:rPr>
      </w:pPr>
      <w:r w:rsidRPr="00B523B4">
        <w:rPr>
          <w:rStyle w:val="onesymbol"/>
          <w:b/>
        </w:rPr>
        <w:t></w:t>
      </w:r>
      <w:r w:rsidRPr="00B523B4">
        <w:rPr>
          <w:b/>
        </w:rPr>
        <w:t> – возможное увеличение фактической длины бурового канала, м, (рекомендуется принимать возможное увеличение фактической длины для полиэтиленовых труб – 0,10 L, м; для стального трубопровода – от 0,03 L до 0,05 L, м);</w:t>
      </w:r>
    </w:p>
    <w:p w:rsidR="0095574D" w:rsidRPr="00B523B4" w:rsidRDefault="0095574D">
      <w:pPr>
        <w:pStyle w:val="newncpi"/>
        <w:rPr>
          <w:b/>
        </w:rPr>
      </w:pPr>
      <w:proofErr w:type="spellStart"/>
      <w:r w:rsidRPr="00B523B4">
        <w:rPr>
          <w:b/>
        </w:rPr>
        <w:t>Кр</w:t>
      </w:r>
      <w:proofErr w:type="spellEnd"/>
      <w:r w:rsidRPr="00B523B4">
        <w:rPr>
          <w:b/>
        </w:rPr>
        <w:t xml:space="preserve"> – коэффициент расхода бурового раствора, выражающий отношение объема прокачиваемого бурового раствора к выбуренной породе, принимается по таблице </w:t>
      </w:r>
      <w:r w:rsidR="00182161" w:rsidRPr="00B523B4">
        <w:rPr>
          <w:b/>
        </w:rPr>
        <w:t>4</w:t>
      </w:r>
      <w:r w:rsidRPr="00B523B4">
        <w:rPr>
          <w:b/>
        </w:rPr>
        <w:t>.</w:t>
      </w:r>
    </w:p>
    <w:p w:rsidR="00B523B4" w:rsidRPr="00B523B4" w:rsidRDefault="00B523B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3B4">
        <w:br w:type="page"/>
      </w:r>
    </w:p>
    <w:p w:rsidR="0095574D" w:rsidRPr="00B523B4" w:rsidRDefault="0095574D" w:rsidP="003056F9">
      <w:pPr>
        <w:pStyle w:val="newncpi"/>
        <w:spacing w:before="240" w:after="120"/>
        <w:jc w:val="right"/>
        <w:rPr>
          <w:b/>
          <w:bCs/>
        </w:rPr>
      </w:pPr>
      <w:r w:rsidRPr="00B523B4">
        <w:t> </w:t>
      </w:r>
      <w:r w:rsidRPr="00B523B4">
        <w:rPr>
          <w:b/>
          <w:bCs/>
        </w:rPr>
        <w:t xml:space="preserve">Таблица </w:t>
      </w:r>
      <w:r w:rsidR="00182161" w:rsidRPr="00B523B4">
        <w:rPr>
          <w:b/>
          <w:bCs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5556"/>
      </w:tblGrid>
      <w:tr w:rsidR="0095574D" w:rsidRPr="00B523B4">
        <w:trPr>
          <w:trHeight w:val="240"/>
        </w:trPr>
        <w:tc>
          <w:tcPr>
            <w:tcW w:w="219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t> </w:t>
            </w:r>
            <w:r w:rsidRPr="00B523B4">
              <w:rPr>
                <w:b/>
              </w:rPr>
              <w:t>Грунтовые условия</w:t>
            </w:r>
          </w:p>
        </w:tc>
        <w:tc>
          <w:tcPr>
            <w:tcW w:w="28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Коэффициент расхода бурового раствора</w:t>
            </w:r>
          </w:p>
        </w:tc>
      </w:tr>
      <w:tr w:rsidR="00C60AD6" w:rsidRPr="00B523B4">
        <w:trPr>
          <w:trHeight w:val="240"/>
        </w:trPr>
        <w:tc>
          <w:tcPr>
            <w:tcW w:w="219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  <w:tc>
          <w:tcPr>
            <w:tcW w:w="28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</w:t>
            </w:r>
          </w:p>
        </w:tc>
      </w:tr>
      <w:tr w:rsidR="0095574D" w:rsidRPr="00B523B4">
        <w:trPr>
          <w:trHeight w:val="24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Песок, гравий, скальная порода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2–3</w:t>
            </w:r>
          </w:p>
        </w:tc>
      </w:tr>
      <w:tr w:rsidR="0095574D" w:rsidRPr="00B523B4">
        <w:trPr>
          <w:trHeight w:val="24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Супесь, суглинок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3–4</w:t>
            </w:r>
          </w:p>
        </w:tc>
      </w:tr>
      <w:tr w:rsidR="0095574D" w:rsidRPr="00B523B4">
        <w:trPr>
          <w:trHeight w:val="240"/>
        </w:trPr>
        <w:tc>
          <w:tcPr>
            <w:tcW w:w="21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Глина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3–4</w:t>
            </w:r>
          </w:p>
        </w:tc>
      </w:tr>
      <w:tr w:rsidR="0095574D" w:rsidRPr="00B523B4">
        <w:trPr>
          <w:trHeight w:val="240"/>
        </w:trPr>
        <w:tc>
          <w:tcPr>
            <w:tcW w:w="219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Активная глина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6</w:t>
            </w:r>
          </w:p>
        </w:tc>
      </w:tr>
    </w:tbl>
    <w:p w:rsidR="0095574D" w:rsidRPr="00B523B4" w:rsidRDefault="0095574D" w:rsidP="00F5331B">
      <w:pPr>
        <w:pStyle w:val="newncpi"/>
        <w:spacing w:before="120"/>
        <w:rPr>
          <w:b/>
        </w:rPr>
      </w:pPr>
      <w:r w:rsidRPr="00B523B4">
        <w:t> </w:t>
      </w:r>
      <w:proofErr w:type="spellStart"/>
      <w:r w:rsidRPr="00B523B4">
        <w:rPr>
          <w:b/>
        </w:rPr>
        <w:t>Ск</w:t>
      </w:r>
      <w:proofErr w:type="spellEnd"/>
      <w:r w:rsidRPr="00B523B4">
        <w:rPr>
          <w:b/>
        </w:rPr>
        <w:t> – концентрация компонентов при приготовлении буровых растворов для различных типов грунтов на 1000 л (1 м</w:t>
      </w:r>
      <w:r w:rsidRPr="00B523B4">
        <w:rPr>
          <w:b/>
          <w:vertAlign w:val="superscript"/>
        </w:rPr>
        <w:t>3</w:t>
      </w:r>
      <w:r w:rsidRPr="00B523B4">
        <w:rPr>
          <w:b/>
        </w:rPr>
        <w:t xml:space="preserve">) раствора, принимается по таблице </w:t>
      </w:r>
      <w:r w:rsidR="00182161" w:rsidRPr="00B523B4">
        <w:rPr>
          <w:b/>
        </w:rPr>
        <w:t>5</w:t>
      </w:r>
      <w:r w:rsidRPr="00B523B4">
        <w:rPr>
          <w:b/>
        </w:rPr>
        <w:t>.</w:t>
      </w:r>
    </w:p>
    <w:p w:rsidR="0095574D" w:rsidRPr="00B523B4" w:rsidRDefault="0095574D" w:rsidP="003056F9">
      <w:pPr>
        <w:pStyle w:val="newncpi"/>
        <w:spacing w:before="240" w:after="120"/>
        <w:jc w:val="right"/>
        <w:rPr>
          <w:b/>
          <w:bCs/>
        </w:rPr>
      </w:pPr>
      <w:r w:rsidRPr="00B523B4">
        <w:rPr>
          <w:b/>
        </w:rPr>
        <w:t> </w:t>
      </w:r>
      <w:r w:rsidRPr="00B523B4">
        <w:rPr>
          <w:b/>
          <w:bCs/>
        </w:rPr>
        <w:t xml:space="preserve">Таблица </w:t>
      </w:r>
      <w:r w:rsidR="00182161" w:rsidRPr="00B523B4">
        <w:rPr>
          <w:b/>
          <w:bCs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1201"/>
        <w:gridCol w:w="1503"/>
        <w:gridCol w:w="1656"/>
        <w:gridCol w:w="1063"/>
        <w:gridCol w:w="1194"/>
        <w:gridCol w:w="1196"/>
      </w:tblGrid>
      <w:tr w:rsidR="0095574D" w:rsidRPr="00B523B4">
        <w:trPr>
          <w:trHeight w:val="240"/>
        </w:trPr>
        <w:tc>
          <w:tcPr>
            <w:tcW w:w="106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Тип грунта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Бентонит «HYG-200», «HYG-220», кг</w:t>
            </w:r>
          </w:p>
        </w:tc>
        <w:tc>
          <w:tcPr>
            <w:tcW w:w="15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Рекомендуемые марки использования полимеров для бентонита «HYG-200», «HYG-220»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Бентонит «ULTRA-GEL», кг</w:t>
            </w:r>
          </w:p>
        </w:tc>
        <w:tc>
          <w:tcPr>
            <w:tcW w:w="120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Рекомендуемые марки использования полимеров для бентонита «ULTRA-GEL»</w:t>
            </w:r>
          </w:p>
        </w:tc>
      </w:tr>
      <w:tr w:rsidR="0095574D" w:rsidRPr="00B523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Полимер «DRISPAC», «</w:t>
            </w:r>
            <w:proofErr w:type="spellStart"/>
            <w:r w:rsidRPr="00B523B4">
              <w:rPr>
                <w:b/>
              </w:rPr>
              <w:t>Universal</w:t>
            </w:r>
            <w:proofErr w:type="spellEnd"/>
            <w:r w:rsidRPr="00B523B4">
              <w:rPr>
                <w:b/>
              </w:rPr>
              <w:t xml:space="preserve"> PAC» (40 %-</w:t>
            </w:r>
            <w:proofErr w:type="spellStart"/>
            <w:r w:rsidRPr="00B523B4">
              <w:rPr>
                <w:b/>
              </w:rPr>
              <w:t>ый</w:t>
            </w:r>
            <w:proofErr w:type="spellEnd"/>
            <w:r w:rsidRPr="00B523B4">
              <w:rPr>
                <w:b/>
              </w:rPr>
              <w:t xml:space="preserve"> раствор – л), (порошок – кг)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Полимер «ADOMITE ASP-700», «</w:t>
            </w:r>
            <w:proofErr w:type="spellStart"/>
            <w:r w:rsidRPr="00B523B4">
              <w:rPr>
                <w:b/>
              </w:rPr>
              <w:t>Universal</w:t>
            </w:r>
            <w:proofErr w:type="spellEnd"/>
            <w:r w:rsidRPr="00B523B4">
              <w:rPr>
                <w:b/>
              </w:rPr>
              <w:t xml:space="preserve"> PHPA» (30 %-</w:t>
            </w:r>
            <w:proofErr w:type="spellStart"/>
            <w:r w:rsidRPr="00B523B4">
              <w:rPr>
                <w:b/>
              </w:rPr>
              <w:t>ый</w:t>
            </w:r>
            <w:proofErr w:type="spellEnd"/>
            <w:r w:rsidRPr="00B523B4">
              <w:rPr>
                <w:b/>
              </w:rPr>
              <w:t xml:space="preserve"> раствор – л), (порошок – кг)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  <w:lang w:val="en-US"/>
              </w:rPr>
            </w:pPr>
            <w:r w:rsidRPr="00B523B4">
              <w:rPr>
                <w:b/>
              </w:rPr>
              <w:t>Полимер</w:t>
            </w:r>
            <w:r w:rsidRPr="00B523B4">
              <w:rPr>
                <w:b/>
                <w:lang w:val="en-US"/>
              </w:rPr>
              <w:t xml:space="preserve"> «Insta-Vis Plus», </w:t>
            </w:r>
            <w:r w:rsidRPr="00B523B4">
              <w:rPr>
                <w:b/>
              </w:rPr>
              <w:t>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Полимер «</w:t>
            </w:r>
            <w:proofErr w:type="spellStart"/>
            <w:r w:rsidRPr="00B523B4">
              <w:rPr>
                <w:b/>
              </w:rPr>
              <w:t>Rel-Pac</w:t>
            </w:r>
            <w:proofErr w:type="spellEnd"/>
            <w:r w:rsidRPr="00B523B4">
              <w:rPr>
                <w:b/>
              </w:rPr>
              <w:t>», кг</w:t>
            </w:r>
          </w:p>
        </w:tc>
      </w:tr>
      <w:tr w:rsidR="00C60AD6" w:rsidRPr="00B523B4" w:rsidTr="00C60AD6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7</w:t>
            </w:r>
          </w:p>
        </w:tc>
      </w:tr>
      <w:tr w:rsidR="0095574D" w:rsidRPr="00B523B4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Глина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2–3(0,6–0,9)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15–20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0,3–0,8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</w:tr>
      <w:tr w:rsidR="0095574D" w:rsidRPr="00B523B4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Суглинок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2(0,8)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20–25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0,3–0,8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</w:tr>
      <w:tr w:rsidR="0095574D" w:rsidRPr="00B523B4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Супесь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40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2(0,8)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 </w:t>
            </w:r>
          </w:p>
        </w:tc>
      </w:tr>
      <w:tr w:rsidR="0095574D" w:rsidRPr="00B523B4">
        <w:trPr>
          <w:trHeight w:val="240"/>
        </w:trPr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Песок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55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2(0,8)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20–35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</w:tr>
      <w:tr w:rsidR="0095574D" w:rsidRPr="00B523B4">
        <w:trPr>
          <w:trHeight w:val="240"/>
        </w:trPr>
        <w:tc>
          <w:tcPr>
            <w:tcW w:w="106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Песок гравелистый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2(0,8)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25–35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–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0,1–0,3</w:t>
            </w:r>
          </w:p>
        </w:tc>
      </w:tr>
    </w:tbl>
    <w:p w:rsidR="00C60AD6" w:rsidRPr="00B523B4" w:rsidRDefault="0095574D" w:rsidP="00C9461D">
      <w:pPr>
        <w:pStyle w:val="newncpi"/>
        <w:rPr>
          <w:b/>
        </w:rPr>
      </w:pPr>
      <w:r w:rsidRPr="00B523B4">
        <w:rPr>
          <w:b/>
        </w:rPr>
        <w:lastRenderedPageBreak/>
        <w:t> Примечание. Для приготовления бурового раствора наряду с вышеуказанными марками компонентов могут применяться другие. При приготовлении и дальнейшем использовании бурового раствора с другими компонентами необходимо придерживаться требований проектной документации объекта строительства и рекомендаций производителей применяемых бентонитов и полимеров.</w:t>
      </w:r>
    </w:p>
    <w:p w:rsidR="00C9461D" w:rsidRPr="00B523B4" w:rsidRDefault="00C9461D" w:rsidP="00C9461D">
      <w:pPr>
        <w:pStyle w:val="newncpi"/>
        <w:spacing w:before="240"/>
        <w:rPr>
          <w:sz w:val="28"/>
          <w:szCs w:val="28"/>
        </w:rPr>
      </w:pPr>
    </w:p>
    <w:p w:rsidR="0095574D" w:rsidRPr="00B523B4" w:rsidRDefault="0095574D" w:rsidP="00C9461D">
      <w:pPr>
        <w:pStyle w:val="numheader"/>
        <w:spacing w:before="0"/>
        <w:rPr>
          <w:sz w:val="28"/>
          <w:szCs w:val="28"/>
        </w:rPr>
      </w:pPr>
      <w:r w:rsidRPr="00B523B4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353"/>
        <w:gridCol w:w="1504"/>
        <w:gridCol w:w="2254"/>
        <w:gridCol w:w="1499"/>
      </w:tblGrid>
      <w:tr w:rsidR="0095574D" w:rsidRPr="00B523B4">
        <w:trPr>
          <w:trHeight w:val="240"/>
        </w:trPr>
        <w:tc>
          <w:tcPr>
            <w:tcW w:w="16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Условия применения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Номера таблиц (норм)</w:t>
            </w:r>
          </w:p>
        </w:tc>
        <w:tc>
          <w:tcPr>
            <w:tcW w:w="265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Коэффициенты к</w:t>
            </w:r>
          </w:p>
        </w:tc>
      </w:tr>
      <w:tr w:rsidR="0095574D" w:rsidRPr="00B523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D" w:rsidRPr="00B523B4" w:rsidRDefault="0095574D">
            <w:pPr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нормам затрат труда рабочих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нормам расхода материалов, изделий и конструкций</w:t>
            </w:r>
          </w:p>
        </w:tc>
      </w:tr>
      <w:tr w:rsidR="00C60AD6" w:rsidRPr="00B523B4" w:rsidTr="00C60AD6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D6" w:rsidRPr="00B523B4" w:rsidRDefault="00C60AD6" w:rsidP="00C60AD6">
            <w:pPr>
              <w:jc w:val="center"/>
              <w:rPr>
                <w:b/>
                <w:sz w:val="20"/>
                <w:szCs w:val="20"/>
              </w:rPr>
            </w:pPr>
            <w:r w:rsidRPr="00B523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AD6" w:rsidRPr="00B523B4" w:rsidRDefault="00C60AD6" w:rsidP="00C60AD6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5</w:t>
            </w:r>
          </w:p>
        </w:tc>
      </w:tr>
      <w:tr w:rsidR="0095574D" w:rsidRPr="00B523B4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3.1. Трубопроводы на высоте более 5 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22-1 – 22-11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1,1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</w:tr>
      <w:tr w:rsidR="0095574D" w:rsidRPr="00B523B4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3.2. Продавливание стальных труб с разработкой грунта вручную в грунтах 1 группы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22-45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0,85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0,84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</w:tr>
      <w:tr w:rsidR="0095574D" w:rsidRPr="00B523B4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3.3. Продавливание стальных труб с разработкой грунта вручную в грунтах 3 группы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22-45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1,26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1,27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</w:tr>
      <w:tr w:rsidR="0095574D" w:rsidRPr="00B523B4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3.4. Продавливание стальных труб без разработки грунта (прокол) в грунтах 1 группы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22-46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0,86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0,85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</w:p>
        </w:tc>
      </w:tr>
      <w:tr w:rsidR="0095574D" w:rsidRPr="003056F9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rPr>
                <w:b/>
              </w:rPr>
            </w:pPr>
            <w:r w:rsidRPr="00B523B4">
              <w:rPr>
                <w:b/>
              </w:rPr>
              <w:t>3.5. Продавливание стальных труб без разработки грунта (прокол) в грунтах 3 группы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22-46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1,18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B523B4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1,19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574D" w:rsidRPr="003056F9" w:rsidRDefault="0095574D">
            <w:pPr>
              <w:pStyle w:val="table10"/>
              <w:jc w:val="center"/>
              <w:rPr>
                <w:b/>
              </w:rPr>
            </w:pPr>
            <w:r w:rsidRPr="00B523B4">
              <w:rPr>
                <w:b/>
              </w:rPr>
              <w:t>1</w:t>
            </w:r>
            <w:bookmarkStart w:id="4" w:name="_GoBack"/>
            <w:bookmarkEnd w:id="4"/>
          </w:p>
        </w:tc>
      </w:tr>
    </w:tbl>
    <w:p w:rsidR="00DF748D" w:rsidRDefault="0095574D" w:rsidP="00B523B4">
      <w:pPr>
        <w:pStyle w:val="newncpi"/>
      </w:pPr>
      <w:r>
        <w:t> </w:t>
      </w:r>
    </w:p>
    <w:sectPr w:rsidR="00DF748D" w:rsidSect="006C53F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134" w:left="141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D6" w:rsidRDefault="00C60AD6" w:rsidP="00C60AD6">
      <w:pPr>
        <w:spacing w:after="0" w:line="240" w:lineRule="auto"/>
      </w:pPr>
      <w:r>
        <w:separator/>
      </w:r>
    </w:p>
  </w:endnote>
  <w:endnote w:type="continuationSeparator" w:id="0">
    <w:p w:rsidR="00C60AD6" w:rsidRDefault="00C60AD6" w:rsidP="00C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FC" w:rsidRPr="006C53FC" w:rsidRDefault="006C53FC" w:rsidP="006C53FC">
    <w:pPr>
      <w:pStyle w:val="a8"/>
    </w:pPr>
    <w:r>
      <w:fldChar w:fldCharType="begin"/>
    </w:r>
    <w:r>
      <w:instrText>PAGE   \* MERGEFORMAT</w:instrText>
    </w:r>
    <w:r>
      <w:fldChar w:fldCharType="separate"/>
    </w:r>
    <w:r w:rsidR="00B523B4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865126"/>
      <w:docPartObj>
        <w:docPartGallery w:val="Page Numbers (Bottom of Page)"/>
        <w:docPartUnique/>
      </w:docPartObj>
    </w:sdtPr>
    <w:sdtEndPr/>
    <w:sdtContent>
      <w:p w:rsidR="006C53FC" w:rsidRDefault="006C53FC" w:rsidP="006C53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B4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D6" w:rsidRDefault="00C60AD6" w:rsidP="00C60AD6">
      <w:pPr>
        <w:spacing w:after="0" w:line="240" w:lineRule="auto"/>
      </w:pPr>
      <w:r>
        <w:separator/>
      </w:r>
    </w:p>
  </w:footnote>
  <w:footnote w:type="continuationSeparator" w:id="0">
    <w:p w:rsidR="00C60AD6" w:rsidRDefault="00C60AD6" w:rsidP="00C6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FC" w:rsidRDefault="006C53FC" w:rsidP="006C53FC">
    <w:pPr>
      <w:pStyle w:val="a5"/>
    </w:pPr>
    <w:r>
      <w:t>НРР 8.03.122-2026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FC" w:rsidRDefault="006C53FC" w:rsidP="006C53FC">
    <w:pPr>
      <w:pStyle w:val="a5"/>
      <w:jc w:val="right"/>
    </w:pPr>
    <w:r>
      <w:t>НРР 8.03.122-2026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4D"/>
    <w:rsid w:val="000F18C4"/>
    <w:rsid w:val="00182161"/>
    <w:rsid w:val="001B50D5"/>
    <w:rsid w:val="0028729D"/>
    <w:rsid w:val="00296232"/>
    <w:rsid w:val="003056F9"/>
    <w:rsid w:val="006519A2"/>
    <w:rsid w:val="006B470F"/>
    <w:rsid w:val="006C53FC"/>
    <w:rsid w:val="008576CF"/>
    <w:rsid w:val="0095574D"/>
    <w:rsid w:val="0096182A"/>
    <w:rsid w:val="00A0425C"/>
    <w:rsid w:val="00B523B4"/>
    <w:rsid w:val="00C60AD6"/>
    <w:rsid w:val="00C9461D"/>
    <w:rsid w:val="00C97515"/>
    <w:rsid w:val="00CA6627"/>
    <w:rsid w:val="00D33423"/>
    <w:rsid w:val="00DF748D"/>
    <w:rsid w:val="00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8C82C8E"/>
  <w15:chartTrackingRefBased/>
  <w15:docId w15:val="{E058CBB3-FE70-4750-A0C1-5C93A598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74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5574D"/>
    <w:rPr>
      <w:color w:val="154C94"/>
      <w:u w:val="single"/>
    </w:rPr>
  </w:style>
  <w:style w:type="paragraph" w:customStyle="1" w:styleId="msonormal0">
    <w:name w:val="msonormal"/>
    <w:basedOn w:val="a"/>
    <w:rsid w:val="009557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557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557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557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557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5574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557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5574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5574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557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5574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557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5574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5574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557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557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5574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557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557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557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5574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5574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5574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5574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5574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557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5574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557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5574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5574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557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5574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5574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5574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5574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5574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557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5574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5574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5574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557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5574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557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57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574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5574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557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574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5574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574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574D"/>
    <w:rPr>
      <w:rFonts w:ascii="Symbol" w:hAnsi="Symbol" w:hint="default"/>
    </w:rPr>
  </w:style>
  <w:style w:type="character" w:customStyle="1" w:styleId="onewind3">
    <w:name w:val="onewind3"/>
    <w:basedOn w:val="a0"/>
    <w:rsid w:val="0095574D"/>
    <w:rPr>
      <w:rFonts w:ascii="Wingdings 3" w:hAnsi="Wingdings 3" w:hint="default"/>
    </w:rPr>
  </w:style>
  <w:style w:type="character" w:customStyle="1" w:styleId="onewind2">
    <w:name w:val="onewind2"/>
    <w:basedOn w:val="a0"/>
    <w:rsid w:val="0095574D"/>
    <w:rPr>
      <w:rFonts w:ascii="Wingdings 2" w:hAnsi="Wingdings 2" w:hint="default"/>
    </w:rPr>
  </w:style>
  <w:style w:type="character" w:customStyle="1" w:styleId="onewind">
    <w:name w:val="onewind"/>
    <w:basedOn w:val="a0"/>
    <w:rsid w:val="0095574D"/>
    <w:rPr>
      <w:rFonts w:ascii="Wingdings" w:hAnsi="Wingdings" w:hint="default"/>
    </w:rPr>
  </w:style>
  <w:style w:type="character" w:customStyle="1" w:styleId="rednoun">
    <w:name w:val="rednoun"/>
    <w:basedOn w:val="a0"/>
    <w:rsid w:val="0095574D"/>
  </w:style>
  <w:style w:type="character" w:customStyle="1" w:styleId="post">
    <w:name w:val="post"/>
    <w:basedOn w:val="a0"/>
    <w:rsid w:val="009557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557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5574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574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574D"/>
    <w:rPr>
      <w:rFonts w:ascii="Arial" w:hAnsi="Arial" w:cs="Arial" w:hint="default"/>
    </w:rPr>
  </w:style>
  <w:style w:type="character" w:customStyle="1" w:styleId="snoskiindex">
    <w:name w:val="snoskiindex"/>
    <w:basedOn w:val="a0"/>
    <w:rsid w:val="0095574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5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B470F"/>
  </w:style>
  <w:style w:type="paragraph" w:styleId="a5">
    <w:name w:val="header"/>
    <w:basedOn w:val="a"/>
    <w:link w:val="a6"/>
    <w:uiPriority w:val="99"/>
    <w:rsid w:val="006B4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B4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6B470F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6B4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B470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BF6D-D086-42CA-80B9-2BDAF1DE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2024-02-12T09:37:00Z</dcterms:created>
  <dcterms:modified xsi:type="dcterms:W3CDTF">2026-02-11T13:39:00Z</dcterms:modified>
</cp:coreProperties>
</file>