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72" w:rsidRPr="00112A1E" w:rsidRDefault="00E55472" w:rsidP="00687FC4">
      <w:pPr>
        <w:pStyle w:val="nonumheader"/>
        <w:spacing w:before="0"/>
        <w:rPr>
          <w:sz w:val="32"/>
          <w:szCs w:val="32"/>
        </w:rPr>
      </w:pPr>
      <w:r w:rsidRPr="00112A1E">
        <w:rPr>
          <w:sz w:val="28"/>
          <w:szCs w:val="28"/>
        </w:rPr>
        <w:t>НОРМАТИВЫ РАСХОДА РЕСУРСОВ</w:t>
      </w:r>
      <w:r w:rsidRPr="00112A1E">
        <w:rPr>
          <w:sz w:val="28"/>
          <w:szCs w:val="28"/>
        </w:rPr>
        <w:br/>
        <w:t>В НАТУРАЛЬНОМ ВЫРАЖЕНИИ</w:t>
      </w:r>
      <w:r w:rsidRPr="00112A1E">
        <w:rPr>
          <w:sz w:val="28"/>
          <w:szCs w:val="28"/>
        </w:rPr>
        <w:br/>
        <w:t>на строительные конструкции и работы</w:t>
      </w:r>
      <w:r w:rsidRPr="00112A1E">
        <w:rPr>
          <w:sz w:val="28"/>
          <w:szCs w:val="28"/>
        </w:rPr>
        <w:br/>
        <w:t>Сборник 16</w:t>
      </w:r>
      <w:r w:rsidRPr="00112A1E">
        <w:rPr>
          <w:sz w:val="28"/>
          <w:szCs w:val="28"/>
        </w:rPr>
        <w:br/>
      </w:r>
      <w:r w:rsidRPr="00112A1E">
        <w:rPr>
          <w:sz w:val="32"/>
          <w:szCs w:val="32"/>
        </w:rPr>
        <w:t>Трубопроводы внутренние</w:t>
      </w:r>
    </w:p>
    <w:p w:rsidR="00E55472" w:rsidRPr="00112A1E" w:rsidRDefault="00E55472">
      <w:pPr>
        <w:pStyle w:val="nonumheader"/>
        <w:rPr>
          <w:sz w:val="32"/>
          <w:szCs w:val="32"/>
        </w:rPr>
      </w:pPr>
      <w:r w:rsidRPr="00112A1E">
        <w:rPr>
          <w:sz w:val="28"/>
          <w:szCs w:val="28"/>
        </w:rPr>
        <w:t>НАРМАТЫВЫ РАСХОДА РЭСУРСАЎ</w:t>
      </w:r>
      <w:r w:rsidRPr="00112A1E">
        <w:rPr>
          <w:sz w:val="28"/>
          <w:szCs w:val="28"/>
        </w:rPr>
        <w:br/>
        <w:t>У НАТУРАЛЬНЫМ ВЫРАЖЭННI</w:t>
      </w:r>
      <w:r w:rsidRPr="00112A1E">
        <w:rPr>
          <w:sz w:val="28"/>
          <w:szCs w:val="28"/>
        </w:rPr>
        <w:br/>
        <w:t xml:space="preserve">на </w:t>
      </w:r>
      <w:proofErr w:type="spellStart"/>
      <w:r w:rsidRPr="00112A1E">
        <w:rPr>
          <w:sz w:val="28"/>
          <w:szCs w:val="28"/>
        </w:rPr>
        <w:t>будаўнiчыя</w:t>
      </w:r>
      <w:proofErr w:type="spellEnd"/>
      <w:r w:rsidRPr="00112A1E">
        <w:rPr>
          <w:sz w:val="28"/>
          <w:szCs w:val="28"/>
        </w:rPr>
        <w:t xml:space="preserve"> </w:t>
      </w:r>
      <w:proofErr w:type="spellStart"/>
      <w:r w:rsidRPr="00112A1E">
        <w:rPr>
          <w:sz w:val="28"/>
          <w:szCs w:val="28"/>
        </w:rPr>
        <w:t>канструкцыi</w:t>
      </w:r>
      <w:proofErr w:type="spellEnd"/>
      <w:r w:rsidRPr="00112A1E">
        <w:rPr>
          <w:sz w:val="28"/>
          <w:szCs w:val="28"/>
        </w:rPr>
        <w:t xml:space="preserve"> i работы</w:t>
      </w:r>
      <w:r w:rsidRPr="00112A1E">
        <w:rPr>
          <w:sz w:val="28"/>
          <w:szCs w:val="28"/>
        </w:rPr>
        <w:br/>
      </w:r>
      <w:proofErr w:type="spellStart"/>
      <w:r w:rsidRPr="00112A1E">
        <w:rPr>
          <w:sz w:val="28"/>
          <w:szCs w:val="28"/>
        </w:rPr>
        <w:t>Зборнiк</w:t>
      </w:r>
      <w:proofErr w:type="spellEnd"/>
      <w:r w:rsidRPr="00112A1E">
        <w:rPr>
          <w:sz w:val="28"/>
          <w:szCs w:val="28"/>
        </w:rPr>
        <w:t xml:space="preserve"> 16</w:t>
      </w:r>
      <w:r w:rsidRPr="00112A1E">
        <w:rPr>
          <w:sz w:val="28"/>
          <w:szCs w:val="28"/>
        </w:rPr>
        <w:br/>
      </w:r>
      <w:proofErr w:type="spellStart"/>
      <w:r w:rsidRPr="00112A1E">
        <w:rPr>
          <w:sz w:val="32"/>
          <w:szCs w:val="32"/>
        </w:rPr>
        <w:t>Трубаправоды</w:t>
      </w:r>
      <w:proofErr w:type="spellEnd"/>
      <w:r w:rsidRPr="00112A1E">
        <w:rPr>
          <w:sz w:val="32"/>
          <w:szCs w:val="32"/>
        </w:rPr>
        <w:t xml:space="preserve"> </w:t>
      </w:r>
      <w:proofErr w:type="spellStart"/>
      <w:r w:rsidRPr="00112A1E">
        <w:rPr>
          <w:sz w:val="32"/>
          <w:szCs w:val="32"/>
        </w:rPr>
        <w:t>ўнутраныя</w:t>
      </w:r>
      <w:proofErr w:type="spellEnd"/>
    </w:p>
    <w:p w:rsidR="00E55472" w:rsidRPr="00112A1E" w:rsidRDefault="00E55472">
      <w:pPr>
        <w:pStyle w:val="nonumheader"/>
        <w:rPr>
          <w:sz w:val="28"/>
          <w:szCs w:val="28"/>
          <w:lang w:val="en-US"/>
        </w:rPr>
      </w:pPr>
      <w:r w:rsidRPr="00112A1E">
        <w:rPr>
          <w:sz w:val="28"/>
          <w:szCs w:val="28"/>
          <w:lang w:val="en-US"/>
        </w:rPr>
        <w:t>SPECIFICATIONS OF THE EXPENSE OF RESOURCES</w:t>
      </w:r>
      <w:r w:rsidRPr="00112A1E">
        <w:rPr>
          <w:sz w:val="28"/>
          <w:szCs w:val="28"/>
          <w:lang w:val="en-US"/>
        </w:rPr>
        <w:br/>
        <w:t>IN NATURAL EXPRESSION</w:t>
      </w:r>
      <w:r w:rsidRPr="00112A1E">
        <w:rPr>
          <w:sz w:val="28"/>
          <w:szCs w:val="28"/>
          <w:lang w:val="en-US"/>
        </w:rPr>
        <w:br/>
        <w:t>for building constructions and works</w:t>
      </w:r>
      <w:r w:rsidRPr="00112A1E">
        <w:rPr>
          <w:sz w:val="28"/>
          <w:szCs w:val="28"/>
          <w:lang w:val="en-US"/>
        </w:rPr>
        <w:br/>
        <w:t>Miscellany 16</w:t>
      </w:r>
      <w:r w:rsidRPr="00112A1E">
        <w:rPr>
          <w:sz w:val="28"/>
          <w:szCs w:val="28"/>
          <w:lang w:val="en-US"/>
        </w:rPr>
        <w:br/>
        <w:t>Internal pipelines</w:t>
      </w:r>
    </w:p>
    <w:p w:rsidR="00E55472" w:rsidRPr="00112A1E" w:rsidRDefault="00E55472">
      <w:pPr>
        <w:pStyle w:val="onestring"/>
      </w:pPr>
      <w:r w:rsidRPr="00112A1E">
        <w:rPr>
          <w:b/>
          <w:bCs/>
        </w:rPr>
        <w:t>Дата введения 202</w:t>
      </w:r>
      <w:r w:rsidR="0088521E" w:rsidRPr="00112A1E">
        <w:rPr>
          <w:b/>
          <w:bCs/>
        </w:rPr>
        <w:t>6</w:t>
      </w:r>
      <w:r w:rsidRPr="00112A1E">
        <w:rPr>
          <w:b/>
          <w:bCs/>
        </w:rPr>
        <w:t>-05-01</w:t>
      </w:r>
    </w:p>
    <w:p w:rsidR="00687FC4" w:rsidRPr="00112A1E" w:rsidRDefault="00687FC4" w:rsidP="00687FC4">
      <w:pPr>
        <w:pStyle w:val="nonumheader"/>
        <w:spacing w:before="0" w:after="0"/>
        <w:rPr>
          <w:sz w:val="28"/>
          <w:szCs w:val="28"/>
        </w:rPr>
      </w:pPr>
    </w:p>
    <w:p w:rsidR="00E55472" w:rsidRPr="00112A1E" w:rsidRDefault="00E55472">
      <w:pPr>
        <w:pStyle w:val="nonumheader"/>
        <w:rPr>
          <w:sz w:val="28"/>
          <w:szCs w:val="28"/>
        </w:rPr>
      </w:pPr>
      <w:r w:rsidRPr="00112A1E">
        <w:rPr>
          <w:sz w:val="28"/>
          <w:szCs w:val="28"/>
        </w:rPr>
        <w:t>ТЕХНИЧЕСКАЯ ЧАСТЬ</w:t>
      </w:r>
    </w:p>
    <w:p w:rsidR="00E55472" w:rsidRPr="00112A1E" w:rsidRDefault="00E55472">
      <w:pPr>
        <w:pStyle w:val="numheader"/>
        <w:rPr>
          <w:sz w:val="28"/>
          <w:szCs w:val="28"/>
        </w:rPr>
      </w:pPr>
      <w:r w:rsidRPr="00112A1E">
        <w:rPr>
          <w:sz w:val="28"/>
          <w:szCs w:val="28"/>
        </w:rPr>
        <w:t>1. ОБЩИЕ УКАЗАНИЯ</w:t>
      </w:r>
    </w:p>
    <w:p w:rsidR="00E55472" w:rsidRPr="00112A1E" w:rsidRDefault="00E55472">
      <w:pPr>
        <w:pStyle w:val="underpoint"/>
        <w:rPr>
          <w:b/>
        </w:rPr>
      </w:pPr>
      <w:r w:rsidRPr="00112A1E">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E55472" w:rsidRPr="00112A1E" w:rsidRDefault="00E55472">
      <w:pPr>
        <w:pStyle w:val="newncpi"/>
        <w:rPr>
          <w:b/>
        </w:rPr>
      </w:pPr>
      <w:r w:rsidRPr="00112A1E">
        <w:rPr>
          <w:b/>
        </w:rPr>
        <w:t>В настоящий Сборник включены нормативы на выполнение работ по прокладке трубопроводов внутренних санитарно-технических систем в жилых, общественных, производственных и вспомогательных зданиях промышленных предприятий, независимо от материалов стен, перекрытий и перегородок, включая:</w:t>
      </w:r>
    </w:p>
    <w:p w:rsidR="00E55472" w:rsidRPr="00112A1E" w:rsidRDefault="00E55472">
      <w:pPr>
        <w:pStyle w:val="newncpi"/>
        <w:rPr>
          <w:b/>
        </w:rPr>
      </w:pPr>
      <w:r w:rsidRPr="00112A1E">
        <w:rPr>
          <w:b/>
        </w:rPr>
        <w:t>раздельные системы хозяйственно-питьевого и противопожарного водопровода, а также объединенные системы хозяйственно-питьевого, противопожарного и производственного водопровода давлением до 1,6 МПа (16 кгс/см</w:t>
      </w:r>
      <w:r w:rsidRPr="00112A1E">
        <w:rPr>
          <w:b/>
          <w:vertAlign w:val="superscript"/>
        </w:rPr>
        <w:t>2</w:t>
      </w:r>
      <w:r w:rsidRPr="00112A1E">
        <w:rPr>
          <w:b/>
        </w:rPr>
        <w:t>);</w:t>
      </w:r>
    </w:p>
    <w:p w:rsidR="00E55472" w:rsidRPr="00112A1E" w:rsidRDefault="00E55472">
      <w:pPr>
        <w:pStyle w:val="newncpi"/>
        <w:rPr>
          <w:b/>
        </w:rPr>
      </w:pPr>
      <w:r w:rsidRPr="00112A1E">
        <w:rPr>
          <w:b/>
        </w:rPr>
        <w:t>системы горячего водоснабжения;</w:t>
      </w:r>
    </w:p>
    <w:p w:rsidR="00E55472" w:rsidRPr="00112A1E" w:rsidRDefault="00E55472">
      <w:pPr>
        <w:pStyle w:val="newncpi"/>
        <w:rPr>
          <w:b/>
        </w:rPr>
      </w:pPr>
      <w:r w:rsidRPr="00112A1E">
        <w:rPr>
          <w:b/>
        </w:rPr>
        <w:t>системы отопления при теплоносителях: вода температурой до 150 °С и пар давлением до 0,07 МПа (0,7 кгс/см</w:t>
      </w:r>
      <w:r w:rsidRPr="00112A1E">
        <w:rPr>
          <w:b/>
          <w:vertAlign w:val="superscript"/>
        </w:rPr>
        <w:t>2</w:t>
      </w:r>
      <w:r w:rsidRPr="00112A1E">
        <w:rPr>
          <w:b/>
        </w:rPr>
        <w:t>);</w:t>
      </w:r>
    </w:p>
    <w:p w:rsidR="00E55472" w:rsidRPr="00112A1E" w:rsidRDefault="00E55472">
      <w:pPr>
        <w:pStyle w:val="newncpi"/>
        <w:rPr>
          <w:b/>
        </w:rPr>
      </w:pPr>
      <w:r w:rsidRPr="00112A1E">
        <w:rPr>
          <w:b/>
        </w:rPr>
        <w:t>раздельные и объединенные системы бытовой и производственной (для неагрессивных стоков) канализации;</w:t>
      </w:r>
    </w:p>
    <w:p w:rsidR="00E55472" w:rsidRPr="00112A1E" w:rsidRDefault="00E55472">
      <w:pPr>
        <w:pStyle w:val="newncpi"/>
        <w:rPr>
          <w:b/>
        </w:rPr>
      </w:pPr>
      <w:r w:rsidRPr="00112A1E">
        <w:rPr>
          <w:b/>
        </w:rPr>
        <w:t>внутренние водостоки;</w:t>
      </w:r>
    </w:p>
    <w:p w:rsidR="00E55472" w:rsidRPr="00112A1E" w:rsidRDefault="00E55472">
      <w:pPr>
        <w:pStyle w:val="newncpi"/>
        <w:rPr>
          <w:b/>
        </w:rPr>
      </w:pPr>
      <w:r w:rsidRPr="00112A1E">
        <w:rPr>
          <w:b/>
        </w:rPr>
        <w:t>системы газоснабжения низкого давления;</w:t>
      </w:r>
    </w:p>
    <w:p w:rsidR="00E55472" w:rsidRPr="00112A1E" w:rsidRDefault="00E55472">
      <w:pPr>
        <w:pStyle w:val="newncpi"/>
        <w:rPr>
          <w:b/>
        </w:rPr>
      </w:pPr>
      <w:r w:rsidRPr="00112A1E">
        <w:rPr>
          <w:b/>
        </w:rPr>
        <w:t>вводы водопровода и канализационные выпуски, прокладываемые от наружной стены здания до первого колодца.</w:t>
      </w:r>
    </w:p>
    <w:p w:rsidR="00BE58EE" w:rsidRPr="00112A1E" w:rsidRDefault="00BE58EE" w:rsidP="00BE58EE">
      <w:pPr>
        <w:pStyle w:val="snoskiline"/>
      </w:pPr>
      <w:r w:rsidRPr="00112A1E">
        <w:t>______________________________</w:t>
      </w:r>
    </w:p>
    <w:p w:rsidR="00BE58EE" w:rsidRPr="00112A1E" w:rsidRDefault="00BE58EE" w:rsidP="00BE58EE">
      <w:pPr>
        <w:pStyle w:val="snoski"/>
        <w:spacing w:after="240"/>
      </w:pPr>
      <w:r w:rsidRPr="00112A1E">
        <w:t>* По тексту настоящего Сборника при ссылке на конкретный норматив применяется его полная нумерация (например, «Е16-1-1») или с указанием таблицы норматива – его сокращение (например, «Таблица 16-1 (норма 1)»).</w:t>
      </w:r>
    </w:p>
    <w:p w:rsidR="00BE58EE" w:rsidRPr="00112A1E" w:rsidRDefault="00BE58EE">
      <w:pPr>
        <w:pStyle w:val="newncpi"/>
        <w:rPr>
          <w:b/>
        </w:rPr>
      </w:pPr>
    </w:p>
    <w:p w:rsidR="00E55472" w:rsidRPr="00112A1E" w:rsidRDefault="00E55472">
      <w:pPr>
        <w:pStyle w:val="newncpi"/>
        <w:rPr>
          <w:b/>
        </w:rPr>
      </w:pPr>
      <w:r w:rsidRPr="00112A1E">
        <w:rPr>
          <w:b/>
        </w:rPr>
        <w:lastRenderedPageBreak/>
        <w:t>Нормативами настоящего Сборника следует пользоваться при прокладке трубопроводов в котельных, оборудованных чугунными секционными и стальными котлами производительностью до 1,16 МВт (1 Гкал/ч), температурой воды до 115 °С и давлением пара не выше 0,07 МПа (0,7 кгс/см</w:t>
      </w:r>
      <w:r w:rsidRPr="00112A1E">
        <w:rPr>
          <w:b/>
          <w:vertAlign w:val="superscript"/>
        </w:rPr>
        <w:t>2</w:t>
      </w:r>
      <w:r w:rsidRPr="00112A1E">
        <w:rPr>
          <w:b/>
        </w:rPr>
        <w:t xml:space="preserve">) и трубопроводов тепловых пунктов с </w:t>
      </w:r>
      <w:proofErr w:type="spellStart"/>
      <w:r w:rsidRPr="00112A1E">
        <w:rPr>
          <w:b/>
        </w:rPr>
        <w:t>водоподогревателями</w:t>
      </w:r>
      <w:proofErr w:type="spellEnd"/>
      <w:r w:rsidRPr="00112A1E">
        <w:rPr>
          <w:b/>
        </w:rPr>
        <w:t xml:space="preserve"> скоростными поверхностью нагрева одной секции до 30 м</w:t>
      </w:r>
      <w:r w:rsidRPr="00112A1E">
        <w:rPr>
          <w:b/>
          <w:vertAlign w:val="superscript"/>
        </w:rPr>
        <w:t>2</w:t>
      </w:r>
      <w:r w:rsidRPr="00112A1E">
        <w:rPr>
          <w:b/>
        </w:rPr>
        <w:t xml:space="preserve"> или емкостными вместимостью до 6 м</w:t>
      </w:r>
      <w:r w:rsidRPr="00112A1E">
        <w:rPr>
          <w:b/>
          <w:vertAlign w:val="superscript"/>
        </w:rPr>
        <w:t>3</w:t>
      </w:r>
      <w:r w:rsidRPr="00112A1E">
        <w:rPr>
          <w:b/>
        </w:rPr>
        <w:t xml:space="preserve"> каждый.</w:t>
      </w:r>
    </w:p>
    <w:p w:rsidR="00E55472" w:rsidRPr="00112A1E" w:rsidRDefault="00E55472">
      <w:pPr>
        <w:pStyle w:val="newncpi"/>
        <w:rPr>
          <w:b/>
        </w:rPr>
      </w:pPr>
      <w:r w:rsidRPr="00112A1E">
        <w:rPr>
          <w:b/>
        </w:rPr>
        <w:t>Расходы на прокладку трубопроводов в котельных и тепловых пунктах с оборудованием более высоких параметров, а также трубопроводов насосных, фильтровальных и очистных станций систем водоснабжения и канализации определяются по нормативам Сборника 12 на монтаж оборудования «Технологические трубопроводы».</w:t>
      </w:r>
    </w:p>
    <w:p w:rsidR="00E55472" w:rsidRPr="00112A1E" w:rsidRDefault="00E55472">
      <w:pPr>
        <w:pStyle w:val="underpoint"/>
        <w:rPr>
          <w:b/>
        </w:rPr>
      </w:pPr>
      <w:r w:rsidRPr="00112A1E">
        <w:rPr>
          <w:b/>
        </w:rPr>
        <w:t>1.2. В нормативах настоящего Сборника предусмотрен полный комплекс основных и вспомогательных работ по прокладке, установке и присоединению соответствующих элементов трубопроводов, включая их комплектование, разметку мест прокладки и вычерчивание эскизов, установку и снятие такелажных приспособлений. В нормативах таблиц 16-5 – 16-11, 16-13, 16-52 не учтены расходы по сверлению отверстий для креплений, а также расходы на установку креплений и опор под трубопроводы, на установку и заделку гильз в местах пересечения труб с перекрытиями, стенами и перегородками.</w:t>
      </w:r>
    </w:p>
    <w:p w:rsidR="00E55472" w:rsidRPr="00112A1E" w:rsidRDefault="00E55472">
      <w:pPr>
        <w:pStyle w:val="underpoint"/>
        <w:rPr>
          <w:b/>
        </w:rPr>
      </w:pPr>
      <w:r w:rsidRPr="00112A1E">
        <w:rPr>
          <w:b/>
        </w:rPr>
        <w:t>1.3. Нормативами не предусмотрены расходы на обертывание рулонными материалами и оштукатуривание полиэтиленовых труб в местах пересечения их со стенами и перекрытиями. Эти расходы определяются дополнительно по проектным данным.</w:t>
      </w:r>
    </w:p>
    <w:p w:rsidR="00E55472" w:rsidRPr="00112A1E" w:rsidRDefault="00E55472">
      <w:pPr>
        <w:pStyle w:val="underpoint"/>
        <w:rPr>
          <w:b/>
        </w:rPr>
      </w:pPr>
      <w:r w:rsidRPr="00112A1E">
        <w:rPr>
          <w:b/>
        </w:rPr>
        <w:t>1.4. Прокладка трубопроводов предусмотрена при наличии готовых сквозных отверстий в стенах, перегородках и перекрытиях. Заделка отверстий после прохода трубопровода нормативами настоящего Сборника не учтена.</w:t>
      </w:r>
    </w:p>
    <w:p w:rsidR="00E55472" w:rsidRPr="00112A1E" w:rsidRDefault="00E55472">
      <w:pPr>
        <w:pStyle w:val="underpoint"/>
        <w:rPr>
          <w:b/>
        </w:rPr>
      </w:pPr>
      <w:r w:rsidRPr="00112A1E">
        <w:rPr>
          <w:b/>
        </w:rPr>
        <w:t>1.5. В нормативах на прокладку трубопроводов из стальных водогазопроводных труб, бесшовных и электросварных диаметром до 150 мм, чугунных канализационных труб по стенам зданий и в каналах, полиэтиленовых канализационных труб, полипропиленовых труб систем водоснабжения, а также обвязки котлов, водоподогревателей и насосов предусмотрено применение готовых узлов трубопроводов, поставляемых на место монтажа транспортабельными узлами.</w:t>
      </w:r>
    </w:p>
    <w:p w:rsidR="00E55472" w:rsidRPr="00112A1E" w:rsidRDefault="00E55472">
      <w:pPr>
        <w:pStyle w:val="newncpi"/>
        <w:rPr>
          <w:b/>
        </w:rPr>
      </w:pPr>
      <w:r w:rsidRPr="00112A1E">
        <w:rPr>
          <w:b/>
        </w:rPr>
        <w:t>Прокладка трубопроводов из чугунных напорных труб, чугунных канализационных труб в траншеях, стальных бесшовных и сварных труб диаметром свыше 150 мм, напорных полиэтиленовых труб, стальных оцинкованных труб на фитингах и полипропиленовых труб систем водоснабжения, полипропиленовых труб систем канализации принята с применением отдельных труб и фасонных частей.</w:t>
      </w:r>
    </w:p>
    <w:p w:rsidR="00E55472" w:rsidRPr="00112A1E" w:rsidRDefault="00E55472">
      <w:pPr>
        <w:pStyle w:val="underpoint"/>
        <w:rPr>
          <w:b/>
        </w:rPr>
      </w:pPr>
      <w:r w:rsidRPr="00112A1E">
        <w:rPr>
          <w:b/>
        </w:rPr>
        <w:t>1.6. При прокладке трубопроводов из водогазопроводных труб и трубопроводов обвязки котлов, водоподогревателей и насосов учтены узлы трубопроводов, поставляемые с установленной арматурой. Количество, тип и диаметр арматуры принимаются по проектным данным.</w:t>
      </w:r>
    </w:p>
    <w:p w:rsidR="00E55472" w:rsidRPr="00112A1E" w:rsidRDefault="00E55472">
      <w:pPr>
        <w:pStyle w:val="underpoint"/>
        <w:rPr>
          <w:b/>
        </w:rPr>
      </w:pPr>
      <w:r w:rsidRPr="00112A1E">
        <w:rPr>
          <w:b/>
        </w:rPr>
        <w:t>1.7. Нормативами учтены расходы на установку арматуры с ручным управлением, маховиком.</w:t>
      </w:r>
    </w:p>
    <w:p w:rsidR="00E55472" w:rsidRPr="00112A1E" w:rsidRDefault="00E55472">
      <w:pPr>
        <w:pStyle w:val="newncpi"/>
        <w:rPr>
          <w:b/>
        </w:rPr>
      </w:pPr>
      <w:r w:rsidRPr="00112A1E">
        <w:rPr>
          <w:b/>
        </w:rPr>
        <w:t>Установка арматуры с иными приводами нормируется по Сборнику 12 на монтаж оборудования «Технологические трубопроводы».</w:t>
      </w:r>
    </w:p>
    <w:p w:rsidR="00E55472" w:rsidRPr="00112A1E" w:rsidRDefault="00E55472">
      <w:pPr>
        <w:pStyle w:val="newncpi"/>
        <w:rPr>
          <w:b/>
        </w:rPr>
      </w:pPr>
      <w:r w:rsidRPr="00112A1E">
        <w:rPr>
          <w:b/>
        </w:rPr>
        <w:t>В нормативах таблиц 16-6, 16-8, 16-14, 16-33, 16-34, 16-35, 16-40, 16-41, 16-49, 16-52 учтены расходы на установку муфтовой арматуры: вентилей всех типов, кранов пробочных, кранов шаровых, кранов двойной регулировки, клапанов обратных, а расходы на установку арматуры других типов необходимо учитывать дополнительно.</w:t>
      </w:r>
    </w:p>
    <w:p w:rsidR="00E55472" w:rsidRPr="00112A1E" w:rsidRDefault="00E55472">
      <w:pPr>
        <w:pStyle w:val="underpoint"/>
        <w:rPr>
          <w:b/>
        </w:rPr>
      </w:pPr>
      <w:r w:rsidRPr="00112A1E">
        <w:rPr>
          <w:b/>
        </w:rPr>
        <w:t>1.8. Расходы на прокладку вводов водопровода из чугунных труб определяются по нормативам таблиц 16-1 – 16-3, а вводов водопровода из стальных труб – по нормативам таблицы 16-9.</w:t>
      </w:r>
    </w:p>
    <w:p w:rsidR="00E55472" w:rsidRPr="00112A1E" w:rsidRDefault="00E55472">
      <w:pPr>
        <w:pStyle w:val="newncpi"/>
        <w:rPr>
          <w:b/>
        </w:rPr>
      </w:pPr>
      <w:r w:rsidRPr="00112A1E">
        <w:rPr>
          <w:b/>
        </w:rPr>
        <w:t>Расходы на прокладку канализационных выпусков и трубопроводов канализации внутри здания в траншеях определяются по нормативам таблицы 16-5 (нормы 1–3).</w:t>
      </w:r>
    </w:p>
    <w:p w:rsidR="00E55472" w:rsidRPr="00112A1E" w:rsidRDefault="00E55472">
      <w:pPr>
        <w:pStyle w:val="underpoint"/>
        <w:rPr>
          <w:b/>
        </w:rPr>
      </w:pPr>
      <w:r w:rsidRPr="00112A1E">
        <w:rPr>
          <w:b/>
        </w:rPr>
        <w:t xml:space="preserve">1.9. В нормативах таблицы 16-20 (нормы 1, 2) предусмотрены расходы на установку пожарного крана. Расходы на обустройство пожарного крана (шкафчик, дверца и т.п.) </w:t>
      </w:r>
      <w:r w:rsidRPr="00112A1E">
        <w:rPr>
          <w:b/>
        </w:rPr>
        <w:lastRenderedPageBreak/>
        <w:t>определяются в сметах к строительной части проектной документации объекта строительства.</w:t>
      </w:r>
    </w:p>
    <w:p w:rsidR="00E55472" w:rsidRPr="00112A1E" w:rsidRDefault="00E55472">
      <w:pPr>
        <w:pStyle w:val="underpoint"/>
        <w:rPr>
          <w:b/>
        </w:rPr>
      </w:pPr>
      <w:r w:rsidRPr="00112A1E">
        <w:rPr>
          <w:b/>
        </w:rPr>
        <w:t>1.10. Нормативами таблицы 16-30 предусмотрены расходы только по заделке сальников при проходе труб через фундаменты или стены подвала.</w:t>
      </w:r>
    </w:p>
    <w:p w:rsidR="00E55472" w:rsidRPr="00112A1E" w:rsidRDefault="00E55472">
      <w:pPr>
        <w:pStyle w:val="newncpi"/>
        <w:rPr>
          <w:b/>
        </w:rPr>
      </w:pPr>
      <w:r w:rsidRPr="00112A1E">
        <w:rPr>
          <w:b/>
        </w:rPr>
        <w:t>Расходы на установку сальников необходимо учитывать дополнительно.</w:t>
      </w:r>
    </w:p>
    <w:p w:rsidR="00E55472" w:rsidRPr="00112A1E" w:rsidRDefault="00E55472">
      <w:pPr>
        <w:pStyle w:val="underpoint"/>
        <w:rPr>
          <w:b/>
        </w:rPr>
      </w:pPr>
      <w:r w:rsidRPr="00112A1E">
        <w:rPr>
          <w:b/>
        </w:rPr>
        <w:t>1.11. В нормативах таблицы 16-31 предусмотрены расходы на установку креплений под трубопроводы.</w:t>
      </w:r>
    </w:p>
    <w:p w:rsidR="00E55472" w:rsidRPr="00112A1E" w:rsidRDefault="00E55472">
      <w:pPr>
        <w:pStyle w:val="underpoint"/>
        <w:rPr>
          <w:b/>
        </w:rPr>
      </w:pPr>
      <w:r w:rsidRPr="00112A1E">
        <w:rPr>
          <w:b/>
        </w:rPr>
        <w:t>1.12. В нормативах таблицы 16-32 предусмотрены расходы на установку и заделку гильз для пропуска трубопроводов через перекрытия, стены и перегородки.</w:t>
      </w:r>
    </w:p>
    <w:p w:rsidR="00E55472" w:rsidRPr="00112A1E" w:rsidRDefault="00E55472">
      <w:pPr>
        <w:pStyle w:val="underpoint"/>
        <w:rPr>
          <w:b/>
        </w:rPr>
      </w:pPr>
      <w:r w:rsidRPr="00112A1E">
        <w:rPr>
          <w:b/>
        </w:rPr>
        <w:t>1.13. Нормативами предусмотрена прокладка трубопроводов и установка арматуры на высоте до 3 м от пола или сплошного настила. При работе на большей высоте к нормативам применяются коэффициенты, приведенные в разделе 3 Технической части.</w:t>
      </w:r>
    </w:p>
    <w:p w:rsidR="00E55472" w:rsidRPr="00112A1E" w:rsidRDefault="00E55472">
      <w:pPr>
        <w:pStyle w:val="underpoint"/>
        <w:rPr>
          <w:b/>
        </w:rPr>
      </w:pPr>
      <w:r w:rsidRPr="00112A1E">
        <w:rPr>
          <w:b/>
        </w:rPr>
        <w:t>1.14. Расходы на устройство, в соответствии с проектом организации строительства, лесов или сплошного настила определяются по нормативам Сборника 8 «Конструкции из кирпича и блоков».</w:t>
      </w:r>
    </w:p>
    <w:p w:rsidR="00E55472" w:rsidRPr="00112A1E" w:rsidRDefault="00E55472">
      <w:pPr>
        <w:pStyle w:val="underpoint"/>
        <w:rPr>
          <w:b/>
        </w:rPr>
      </w:pPr>
      <w:r w:rsidRPr="00112A1E">
        <w:rPr>
          <w:b/>
        </w:rPr>
        <w:t>1.15. Расходы на обделку кровли у воронок внутренних водостоков и канализационных стояков учтены в нормативах Сборника 12 «Кровли».</w:t>
      </w:r>
    </w:p>
    <w:p w:rsidR="00E55472" w:rsidRPr="00112A1E" w:rsidRDefault="00E55472">
      <w:pPr>
        <w:pStyle w:val="underpoint"/>
        <w:rPr>
          <w:b/>
        </w:rPr>
      </w:pPr>
      <w:r w:rsidRPr="00112A1E">
        <w:rPr>
          <w:b/>
        </w:rPr>
        <w:t>1.16. Расходы на пневматическое испытание трубопроводов систем газоснабжения определяются по нормативам Сборника 19 «Газоснабжение – внутренние устройства».</w:t>
      </w:r>
    </w:p>
    <w:p w:rsidR="00E55472" w:rsidRPr="00112A1E" w:rsidRDefault="00E55472">
      <w:pPr>
        <w:pStyle w:val="underpoint"/>
        <w:rPr>
          <w:b/>
        </w:rPr>
      </w:pPr>
      <w:r w:rsidRPr="00112A1E">
        <w:rPr>
          <w:b/>
        </w:rPr>
        <w:t>1.17. Нормативами таблицы 16-56 учтены расходы на установку клапанов балансировочных, регуляторов перепада давления с присоединением с одной стороны к стальной трубе на короткой резьбе, с другой стороны – к трубе из полиэтилена при помощи фитинга.</w:t>
      </w:r>
    </w:p>
    <w:p w:rsidR="00E55472" w:rsidRPr="00112A1E" w:rsidRDefault="00E55472">
      <w:pPr>
        <w:pStyle w:val="underpoint"/>
        <w:rPr>
          <w:b/>
        </w:rPr>
      </w:pPr>
      <w:r w:rsidRPr="00112A1E">
        <w:rPr>
          <w:b/>
        </w:rPr>
        <w:t>1.18. Нормативами таблиц 16-59 и 16-60 не учтены расходы на установку арматуры на отводах стояков.</w:t>
      </w:r>
    </w:p>
    <w:p w:rsidR="00E55472" w:rsidRPr="00112A1E" w:rsidRDefault="00E55472">
      <w:pPr>
        <w:pStyle w:val="underpoint"/>
        <w:rPr>
          <w:b/>
        </w:rPr>
      </w:pPr>
      <w:r w:rsidRPr="00112A1E">
        <w:rPr>
          <w:b/>
        </w:rPr>
        <w:t>1.19. Нормативом Е16-61-1 учтены расходы на установку электронных блоков поквартирных счетчиков тепла, расходы на установку корпуса расходомера учтены в нормах 1–8 таблицы 16-60.</w:t>
      </w:r>
    </w:p>
    <w:p w:rsidR="00E55472" w:rsidRPr="00112A1E" w:rsidRDefault="00E55472">
      <w:pPr>
        <w:pStyle w:val="underpoint"/>
        <w:rPr>
          <w:b/>
        </w:rPr>
      </w:pPr>
      <w:r w:rsidRPr="00112A1E">
        <w:rPr>
          <w:b/>
        </w:rPr>
        <w:t>1.20.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E55472" w:rsidRPr="00112A1E" w:rsidRDefault="00E55472">
      <w:pPr>
        <w:pStyle w:val="underpoint"/>
        <w:rPr>
          <w:b/>
        </w:rPr>
      </w:pPr>
      <w:r w:rsidRPr="00112A1E">
        <w:rPr>
          <w:b/>
        </w:rPr>
        <w:t>1.21. В нормативах на прокладку трубопроводов из стальных и чугунных труб диаметры труб указаны по условному проходу.</w:t>
      </w:r>
    </w:p>
    <w:p w:rsidR="00E55472" w:rsidRPr="00112A1E" w:rsidRDefault="00E55472">
      <w:pPr>
        <w:pStyle w:val="newncpi"/>
        <w:rPr>
          <w:b/>
        </w:rPr>
      </w:pPr>
      <w:r w:rsidRPr="00112A1E">
        <w:rPr>
          <w:b/>
        </w:rPr>
        <w:t>В нормативах на прокладку трубопроводов из полипропиленовых, полиэтиленовых, металлопластиковых труб, из труб из сшитого полиэтилена указаны наружные диаметры труб.</w:t>
      </w:r>
    </w:p>
    <w:p w:rsidR="00E55472" w:rsidRPr="00112A1E" w:rsidRDefault="00E55472">
      <w:pPr>
        <w:pStyle w:val="newncpi"/>
        <w:rPr>
          <w:b/>
        </w:rPr>
      </w:pPr>
      <w:r w:rsidRPr="00112A1E">
        <w:rPr>
          <w:b/>
        </w:rPr>
        <w:t>Диаметры труб в нормативах, приведенные со словом «до», следует понимать включительно.</w:t>
      </w:r>
    </w:p>
    <w:p w:rsidR="00BE58EE" w:rsidRPr="00112A1E" w:rsidRDefault="00BE58EE" w:rsidP="00BE58EE">
      <w:pPr>
        <w:spacing w:after="0" w:line="240" w:lineRule="auto"/>
        <w:ind w:firstLine="567"/>
        <w:jc w:val="both"/>
        <w:rPr>
          <w:rFonts w:ascii="Times New Roman" w:eastAsia="Times New Roman" w:hAnsi="Times New Roman" w:cs="Times New Roman"/>
          <w:b/>
          <w:sz w:val="24"/>
          <w:szCs w:val="20"/>
          <w:lang w:eastAsia="x-none"/>
        </w:rPr>
      </w:pPr>
      <w:r w:rsidRPr="00112A1E">
        <w:rPr>
          <w:rFonts w:ascii="Times New Roman" w:eastAsiaTheme="minorEastAsia" w:hAnsi="Times New Roman" w:cs="Times New Roman"/>
          <w:b/>
          <w:sz w:val="24"/>
          <w:szCs w:val="24"/>
          <w:lang w:eastAsia="ru-RU"/>
        </w:rPr>
        <w:t>1.22.</w:t>
      </w:r>
      <w:r w:rsidRPr="00112A1E">
        <w:rPr>
          <w:b/>
        </w:rPr>
        <w:t xml:space="preserve"> </w:t>
      </w:r>
      <w:r w:rsidRPr="00112A1E">
        <w:rPr>
          <w:rFonts w:ascii="Times New Roman" w:eastAsia="Times New Roman" w:hAnsi="Times New Roman" w:cs="Times New Roman"/>
          <w:b/>
          <w:sz w:val="24"/>
          <w:szCs w:val="20"/>
          <w:lang w:eastAsia="x-none"/>
        </w:rPr>
        <w:t>В нормативах сборника не учтены:</w:t>
      </w:r>
    </w:p>
    <w:p w:rsidR="00112A1E" w:rsidRPr="00112A1E" w:rsidRDefault="00112A1E" w:rsidP="00112A1E">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112A1E">
        <w:rPr>
          <w:rFonts w:ascii="Times New Roman" w:eastAsia="Times New Roman" w:hAnsi="Times New Roman" w:cs="Times New Roman"/>
          <w:b/>
          <w:sz w:val="24"/>
          <w:szCs w:val="20"/>
          <w:lang w:eastAsia="x-none"/>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112A1E" w:rsidRPr="00112A1E" w:rsidRDefault="00112A1E" w:rsidP="00112A1E">
      <w:pPr>
        <w:spacing w:after="0" w:line="240" w:lineRule="auto"/>
        <w:ind w:firstLine="567"/>
        <w:jc w:val="both"/>
        <w:rPr>
          <w:rFonts w:ascii="Times New Roman" w:eastAsia="Times New Roman" w:hAnsi="Times New Roman" w:cs="Times New Roman"/>
          <w:b/>
          <w:sz w:val="24"/>
          <w:szCs w:val="20"/>
          <w:lang w:eastAsia="x-none"/>
        </w:rPr>
      </w:pPr>
      <w:r w:rsidRPr="00112A1E">
        <w:rPr>
          <w:rFonts w:ascii="Times New Roman" w:eastAsia="Times New Roman" w:hAnsi="Times New Roman" w:cs="Times New Roman"/>
          <w:b/>
          <w:sz w:val="24"/>
          <w:szCs w:val="20"/>
          <w:lang w:eastAsia="x-none"/>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112A1E" w:rsidRPr="00112A1E" w:rsidRDefault="00112A1E" w:rsidP="00112A1E">
      <w:pPr>
        <w:spacing w:after="0" w:line="240" w:lineRule="auto"/>
        <w:ind w:firstLine="567"/>
        <w:jc w:val="both"/>
        <w:rPr>
          <w:rFonts w:ascii="Times New Roman" w:eastAsia="Times New Roman" w:hAnsi="Times New Roman" w:cs="Times New Roman"/>
          <w:b/>
          <w:sz w:val="24"/>
          <w:szCs w:val="20"/>
          <w:lang w:eastAsia="x-none"/>
        </w:rPr>
      </w:pPr>
      <w:r w:rsidRPr="00112A1E">
        <w:rPr>
          <w:rFonts w:ascii="Times New Roman" w:eastAsia="Times New Roman" w:hAnsi="Times New Roman" w:cs="Times New Roman"/>
          <w:b/>
          <w:sz w:val="24"/>
          <w:szCs w:val="20"/>
          <w:lang w:eastAsia="x-none"/>
        </w:rPr>
        <w:lastRenderedPageBreak/>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112A1E" w:rsidRPr="00112A1E" w:rsidRDefault="00112A1E" w:rsidP="00112A1E">
      <w:pPr>
        <w:pStyle w:val="underpoint"/>
        <w:jc w:val="left"/>
        <w:rPr>
          <w:b/>
        </w:rPr>
      </w:pPr>
    </w:p>
    <w:p w:rsidR="00BE58EE" w:rsidRPr="00112A1E" w:rsidRDefault="00BE58EE" w:rsidP="00112A1E">
      <w:pPr>
        <w:pStyle w:val="underpoint"/>
        <w:jc w:val="left"/>
        <w:rPr>
          <w:b/>
        </w:rPr>
      </w:pPr>
      <w:r w:rsidRPr="00112A1E">
        <w:rPr>
          <w:b/>
        </w:rPr>
        <w:t xml:space="preserve">Таблица 1 – </w:t>
      </w:r>
      <w:r w:rsidR="00112A1E" w:rsidRPr="00112A1E">
        <w:rPr>
          <w:rFonts w:eastAsia="Times New Roman"/>
          <w:b/>
          <w:szCs w:val="20"/>
          <w:lang w:eastAsia="x-none"/>
        </w:rPr>
        <w:t>Нормы затрат на вспомогательные машины и механизмы</w:t>
      </w:r>
    </w:p>
    <w:p w:rsidR="00112A1E" w:rsidRPr="00112A1E" w:rsidRDefault="00112A1E" w:rsidP="00112A1E">
      <w:pPr>
        <w:pStyle w:val="underpoint"/>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2333"/>
        <w:gridCol w:w="2333"/>
      </w:tblGrid>
      <w:tr w:rsidR="002D165D" w:rsidRPr="00112A1E" w:rsidTr="00112A1E">
        <w:trPr>
          <w:trHeight w:val="765"/>
        </w:trPr>
        <w:tc>
          <w:tcPr>
            <w:tcW w:w="5103" w:type="dxa"/>
            <w:shd w:val="clear" w:color="auto" w:fill="auto"/>
            <w:noWrap/>
            <w:vAlign w:val="center"/>
            <w:hideMark/>
          </w:tcPr>
          <w:p w:rsidR="002D165D" w:rsidRPr="00112A1E" w:rsidRDefault="002D165D" w:rsidP="002D165D">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Номера таблиц (норм)</w:t>
            </w:r>
          </w:p>
        </w:tc>
        <w:tc>
          <w:tcPr>
            <w:tcW w:w="2268" w:type="dxa"/>
            <w:shd w:val="clear" w:color="auto" w:fill="auto"/>
            <w:vAlign w:val="center"/>
            <w:hideMark/>
          </w:tcPr>
          <w:p w:rsidR="002D165D" w:rsidRPr="00112A1E" w:rsidRDefault="002D165D" w:rsidP="002D165D">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 xml:space="preserve">% вспомогательных машин и механизмов от стоимости </w:t>
            </w:r>
            <w:r w:rsidR="00112A1E" w:rsidRPr="00112A1E">
              <w:rPr>
                <w:rFonts w:ascii="Times New Roman" w:eastAsia="Times New Roman" w:hAnsi="Times New Roman" w:cs="Times New Roman"/>
                <w:b/>
                <w:bCs/>
                <w:sz w:val="20"/>
                <w:szCs w:val="20"/>
                <w:lang w:eastAsia="ru-RU"/>
              </w:rPr>
              <w:t xml:space="preserve">эксплуатации </w:t>
            </w:r>
            <w:r w:rsidRPr="00112A1E">
              <w:rPr>
                <w:rFonts w:ascii="Times New Roman" w:eastAsia="Times New Roman" w:hAnsi="Times New Roman" w:cs="Times New Roman"/>
                <w:b/>
                <w:bCs/>
                <w:sz w:val="20"/>
                <w:szCs w:val="20"/>
                <w:lang w:eastAsia="ru-RU"/>
              </w:rPr>
              <w:t>машин и механизмов, учтенных в нормативах</w:t>
            </w:r>
          </w:p>
        </w:tc>
        <w:tc>
          <w:tcPr>
            <w:tcW w:w="2268" w:type="dxa"/>
            <w:shd w:val="clear" w:color="auto" w:fill="auto"/>
            <w:vAlign w:val="center"/>
            <w:hideMark/>
          </w:tcPr>
          <w:p w:rsidR="002D165D" w:rsidRPr="00112A1E" w:rsidRDefault="002D165D" w:rsidP="002D165D">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BE58EE" w:rsidRPr="00112A1E" w:rsidTr="00112A1E">
        <w:trPr>
          <w:trHeight w:val="157"/>
        </w:trPr>
        <w:tc>
          <w:tcPr>
            <w:tcW w:w="5103" w:type="dxa"/>
            <w:shd w:val="clear" w:color="auto" w:fill="auto"/>
            <w:noWrap/>
          </w:tcPr>
          <w:p w:rsidR="00BE58EE" w:rsidRPr="00112A1E" w:rsidRDefault="00BE58EE" w:rsidP="00BE58EE">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1</w:t>
            </w:r>
          </w:p>
        </w:tc>
        <w:tc>
          <w:tcPr>
            <w:tcW w:w="2268" w:type="dxa"/>
            <w:shd w:val="clear" w:color="auto" w:fill="auto"/>
          </w:tcPr>
          <w:p w:rsidR="00BE58EE" w:rsidRPr="00112A1E" w:rsidRDefault="00BE58EE" w:rsidP="00BE58EE">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2</w:t>
            </w:r>
          </w:p>
        </w:tc>
        <w:tc>
          <w:tcPr>
            <w:tcW w:w="2268" w:type="dxa"/>
            <w:shd w:val="clear" w:color="auto" w:fill="auto"/>
          </w:tcPr>
          <w:p w:rsidR="00BE58EE" w:rsidRPr="00112A1E" w:rsidRDefault="00BE58EE" w:rsidP="00BE58EE">
            <w:pPr>
              <w:spacing w:after="0" w:line="240" w:lineRule="auto"/>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3</w:t>
            </w:r>
          </w:p>
        </w:tc>
      </w:tr>
      <w:tr w:rsidR="00BE58EE" w:rsidRPr="00112A1E" w:rsidTr="00112A1E">
        <w:trPr>
          <w:trHeight w:val="255"/>
        </w:trPr>
        <w:tc>
          <w:tcPr>
            <w:tcW w:w="5103" w:type="dxa"/>
            <w:shd w:val="clear" w:color="auto" w:fill="auto"/>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16-46 (4,5,6,7,11,12,13,14), 16-47 (4,5,6,7,11,12,13,14)</w:t>
            </w:r>
          </w:p>
        </w:tc>
        <w:tc>
          <w:tcPr>
            <w:tcW w:w="2268" w:type="dxa"/>
            <w:vMerge w:val="restart"/>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0.5</w:t>
            </w: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BE58EE" w:rsidRPr="00112A1E" w:rsidTr="00112A1E">
        <w:trPr>
          <w:trHeight w:val="255"/>
        </w:trPr>
        <w:tc>
          <w:tcPr>
            <w:tcW w:w="5103" w:type="dxa"/>
            <w:shd w:val="clear" w:color="auto" w:fill="auto"/>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16-41 (1,5)</w:t>
            </w:r>
          </w:p>
        </w:tc>
        <w:tc>
          <w:tcPr>
            <w:tcW w:w="2268" w:type="dxa"/>
            <w:vMerge/>
            <w:vAlign w:val="center"/>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64.5</w:t>
            </w:r>
          </w:p>
        </w:tc>
      </w:tr>
      <w:tr w:rsidR="00BE58EE" w:rsidRPr="00112A1E" w:rsidTr="00112A1E">
        <w:trPr>
          <w:trHeight w:val="255"/>
        </w:trPr>
        <w:tc>
          <w:tcPr>
            <w:tcW w:w="5103" w:type="dxa"/>
            <w:shd w:val="clear" w:color="auto" w:fill="auto"/>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16-6 (6), 16-10 (1), 16-33 (1)</w:t>
            </w:r>
          </w:p>
        </w:tc>
        <w:tc>
          <w:tcPr>
            <w:tcW w:w="2268" w:type="dxa"/>
            <w:vMerge w:val="restart"/>
            <w:shd w:val="clear" w:color="auto" w:fill="auto"/>
            <w:noWrap/>
            <w:vAlign w:val="center"/>
            <w:hideMark/>
          </w:tcPr>
          <w:p w:rsidR="00BE58EE" w:rsidRPr="00112A1E" w:rsidRDefault="005E4753" w:rsidP="005E4753">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1.5</w:t>
            </w: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BE58EE" w:rsidRPr="00112A1E" w:rsidTr="00112A1E">
        <w:trPr>
          <w:trHeight w:val="255"/>
        </w:trPr>
        <w:tc>
          <w:tcPr>
            <w:tcW w:w="5103" w:type="dxa"/>
            <w:shd w:val="clear" w:color="auto" w:fill="auto"/>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16-41 (2,3,6)</w:t>
            </w:r>
          </w:p>
        </w:tc>
        <w:tc>
          <w:tcPr>
            <w:tcW w:w="2268" w:type="dxa"/>
            <w:vMerge/>
            <w:vAlign w:val="center"/>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64.6</w:t>
            </w:r>
          </w:p>
        </w:tc>
      </w:tr>
      <w:tr w:rsidR="00BE58EE" w:rsidRPr="00112A1E" w:rsidTr="00112A1E">
        <w:trPr>
          <w:trHeight w:val="255"/>
        </w:trPr>
        <w:tc>
          <w:tcPr>
            <w:tcW w:w="5103" w:type="dxa"/>
            <w:shd w:val="clear" w:color="auto" w:fill="auto"/>
            <w:hideMark/>
          </w:tcPr>
          <w:p w:rsidR="00BE58EE" w:rsidRPr="00112A1E" w:rsidRDefault="005E4753"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16-6 (3,4,5), 16-10 (4,5), 16-24 (2), 16-25 (2), 16-33 (2), 16-52 (6,7,8,9,10,11), 16-57, 16-59 (6), 16-60 (6)</w:t>
            </w:r>
          </w:p>
        </w:tc>
        <w:tc>
          <w:tcPr>
            <w:tcW w:w="2268" w:type="dxa"/>
            <w:vMerge w:val="restart"/>
            <w:shd w:val="clear" w:color="auto" w:fill="auto"/>
            <w:noWrap/>
            <w:vAlign w:val="center"/>
            <w:hideMark/>
          </w:tcPr>
          <w:p w:rsidR="00BE58EE" w:rsidRPr="00112A1E" w:rsidRDefault="005E4753"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2.6</w:t>
            </w: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BE58EE" w:rsidRPr="00112A1E" w:rsidTr="00112A1E">
        <w:trPr>
          <w:trHeight w:val="255"/>
        </w:trPr>
        <w:tc>
          <w:tcPr>
            <w:tcW w:w="5103" w:type="dxa"/>
            <w:shd w:val="clear" w:color="auto" w:fill="auto"/>
            <w:hideMark/>
          </w:tcPr>
          <w:p w:rsidR="00BE58EE" w:rsidRPr="00112A1E" w:rsidRDefault="005E4753"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16-41 (4,7,8)</w:t>
            </w:r>
          </w:p>
        </w:tc>
        <w:tc>
          <w:tcPr>
            <w:tcW w:w="2268" w:type="dxa"/>
            <w:vMerge/>
            <w:vAlign w:val="center"/>
            <w:hideMark/>
          </w:tcPr>
          <w:p w:rsidR="00BE58EE" w:rsidRPr="00112A1E" w:rsidRDefault="00BE58EE" w:rsidP="00BE58EE">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64.6</w:t>
            </w:r>
          </w:p>
        </w:tc>
      </w:tr>
      <w:tr w:rsidR="00BE58EE" w:rsidRPr="00112A1E" w:rsidTr="00112A1E">
        <w:trPr>
          <w:trHeight w:val="255"/>
        </w:trPr>
        <w:tc>
          <w:tcPr>
            <w:tcW w:w="5103" w:type="dxa"/>
            <w:shd w:val="clear" w:color="auto" w:fill="auto"/>
            <w:hideMark/>
          </w:tcPr>
          <w:p w:rsidR="00BE58EE" w:rsidRPr="00112A1E" w:rsidRDefault="005E4753"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16-6 (1,2), 16-8 (3,4,5), 16-9 (1,3,4,5), 16-10 (2,6,7), 16-24 (1), 16-25 (1), 16-33 (3,4,5,6), 16-59 (5,8), 16-60 (2,5,7,8), 16-62</w:t>
            </w:r>
          </w:p>
        </w:tc>
        <w:tc>
          <w:tcPr>
            <w:tcW w:w="2268" w:type="dxa"/>
            <w:shd w:val="clear" w:color="auto" w:fill="auto"/>
            <w:noWrap/>
            <w:vAlign w:val="center"/>
            <w:hideMark/>
          </w:tcPr>
          <w:p w:rsidR="00BE58EE" w:rsidRPr="00112A1E" w:rsidRDefault="005E4753"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3.4</w:t>
            </w:r>
          </w:p>
        </w:tc>
        <w:tc>
          <w:tcPr>
            <w:tcW w:w="2268" w:type="dxa"/>
            <w:shd w:val="clear" w:color="auto" w:fill="auto"/>
            <w:noWrap/>
            <w:vAlign w:val="center"/>
            <w:hideMark/>
          </w:tcPr>
          <w:p w:rsidR="00BE58EE" w:rsidRPr="00112A1E" w:rsidRDefault="00BE58E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5E4753" w:rsidRPr="00112A1E" w:rsidTr="00112A1E">
        <w:trPr>
          <w:trHeight w:val="255"/>
        </w:trPr>
        <w:tc>
          <w:tcPr>
            <w:tcW w:w="5103" w:type="dxa"/>
            <w:shd w:val="clear" w:color="auto" w:fill="auto"/>
            <w:hideMark/>
          </w:tcPr>
          <w:p w:rsidR="005E4753" w:rsidRPr="00112A1E" w:rsidRDefault="005E4753"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16-8 (1,2,6), 16-9 (2), 16-10 (3), 16-59 (7), 16-60 (4)</w:t>
            </w:r>
          </w:p>
        </w:tc>
        <w:tc>
          <w:tcPr>
            <w:tcW w:w="2268" w:type="dxa"/>
            <w:vMerge w:val="restart"/>
            <w:shd w:val="clear" w:color="auto" w:fill="auto"/>
            <w:vAlign w:val="center"/>
            <w:hideMark/>
          </w:tcPr>
          <w:p w:rsidR="005E4753" w:rsidRPr="00112A1E" w:rsidRDefault="005E4753" w:rsidP="005E4753">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4.5</w:t>
            </w:r>
          </w:p>
        </w:tc>
        <w:tc>
          <w:tcPr>
            <w:tcW w:w="2268" w:type="dxa"/>
            <w:shd w:val="clear" w:color="auto" w:fill="auto"/>
            <w:noWrap/>
            <w:vAlign w:val="center"/>
            <w:hideMark/>
          </w:tcPr>
          <w:p w:rsidR="005E4753" w:rsidRPr="00112A1E" w:rsidRDefault="005E4753"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w:t>
            </w:r>
          </w:p>
        </w:tc>
      </w:tr>
      <w:tr w:rsidR="005E4753" w:rsidRPr="00112A1E" w:rsidTr="00112A1E">
        <w:trPr>
          <w:trHeight w:val="255"/>
        </w:trPr>
        <w:tc>
          <w:tcPr>
            <w:tcW w:w="5103" w:type="dxa"/>
            <w:shd w:val="clear" w:color="auto" w:fill="auto"/>
            <w:hideMark/>
          </w:tcPr>
          <w:p w:rsidR="005E4753" w:rsidRPr="00112A1E" w:rsidRDefault="005E4753"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16-12 (8,9)</w:t>
            </w:r>
          </w:p>
        </w:tc>
        <w:tc>
          <w:tcPr>
            <w:tcW w:w="2268" w:type="dxa"/>
            <w:vMerge/>
            <w:shd w:val="clear" w:color="auto" w:fill="auto"/>
            <w:noWrap/>
            <w:vAlign w:val="center"/>
            <w:hideMark/>
          </w:tcPr>
          <w:p w:rsidR="005E4753" w:rsidRPr="00112A1E" w:rsidRDefault="005E4753" w:rsidP="00BE58EE">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5E4753" w:rsidRPr="00112A1E" w:rsidRDefault="005E4753"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6</w:t>
            </w:r>
            <w:r w:rsidR="0088521E" w:rsidRPr="00112A1E">
              <w:rPr>
                <w:rFonts w:ascii="Times New Roman" w:eastAsia="Times New Roman" w:hAnsi="Times New Roman" w:cs="Times New Roman"/>
                <w:b/>
                <w:sz w:val="20"/>
                <w:szCs w:val="20"/>
                <w:lang w:val="en-US" w:eastAsia="ru-RU"/>
              </w:rPr>
              <w:t>4.7</w:t>
            </w:r>
          </w:p>
        </w:tc>
      </w:tr>
      <w:tr w:rsidR="0088521E" w:rsidRPr="00112A1E" w:rsidTr="00112A1E">
        <w:trPr>
          <w:trHeight w:val="255"/>
        </w:trPr>
        <w:tc>
          <w:tcPr>
            <w:tcW w:w="5103" w:type="dxa"/>
            <w:shd w:val="clear" w:color="auto" w:fill="auto"/>
            <w:hideMark/>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16-7 (7,8), 16-59 (2), 16-60 (1,3)</w:t>
            </w:r>
          </w:p>
        </w:tc>
        <w:tc>
          <w:tcPr>
            <w:tcW w:w="2268" w:type="dxa"/>
            <w:vMerge w:val="restart"/>
            <w:shd w:val="clear" w:color="auto" w:fill="auto"/>
            <w:vAlign w:val="center"/>
            <w:hideMark/>
          </w:tcPr>
          <w:p w:rsidR="0088521E" w:rsidRPr="00112A1E" w:rsidRDefault="0088521E" w:rsidP="0088521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5.5</w:t>
            </w:r>
          </w:p>
        </w:tc>
        <w:tc>
          <w:tcPr>
            <w:tcW w:w="2268" w:type="dxa"/>
            <w:shd w:val="clear" w:color="auto" w:fill="auto"/>
            <w:noWrap/>
            <w:vAlign w:val="center"/>
            <w:hideMark/>
          </w:tcPr>
          <w:p w:rsidR="0088521E" w:rsidRPr="00112A1E" w:rsidRDefault="0088521E" w:rsidP="00BE58EE">
            <w:pPr>
              <w:spacing w:after="0" w:line="240" w:lineRule="auto"/>
              <w:jc w:val="center"/>
              <w:rPr>
                <w:rFonts w:ascii="Times New Roman" w:eastAsia="Times New Roman" w:hAnsi="Times New Roman" w:cs="Times New Roman"/>
                <w:b/>
                <w:sz w:val="20"/>
                <w:szCs w:val="20"/>
                <w:lang w:val="en-US" w:eastAsia="ru-RU"/>
              </w:rPr>
            </w:pPr>
            <w:r w:rsidRPr="00112A1E">
              <w:rPr>
                <w:rFonts w:ascii="Times New Roman" w:eastAsia="Times New Roman" w:hAnsi="Times New Roman" w:cs="Times New Roman"/>
                <w:b/>
                <w:sz w:val="20"/>
                <w:szCs w:val="20"/>
                <w:lang w:val="en-US" w:eastAsia="ru-RU"/>
              </w:rPr>
              <w:t>-</w:t>
            </w:r>
          </w:p>
        </w:tc>
      </w:tr>
      <w:tr w:rsidR="0088521E" w:rsidRPr="00112A1E" w:rsidTr="00112A1E">
        <w:trPr>
          <w:trHeight w:val="255"/>
        </w:trPr>
        <w:tc>
          <w:tcPr>
            <w:tcW w:w="5103" w:type="dxa"/>
            <w:shd w:val="clear" w:color="auto" w:fill="auto"/>
            <w:hideMark/>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16-12 (2,3,4,5,6,7)</w:t>
            </w:r>
          </w:p>
        </w:tc>
        <w:tc>
          <w:tcPr>
            <w:tcW w:w="2268" w:type="dxa"/>
            <w:vMerge/>
            <w:shd w:val="clear" w:color="auto" w:fill="auto"/>
            <w:noWrap/>
            <w:vAlign w:val="center"/>
            <w:hideMark/>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val="en-US" w:eastAsia="ru-RU"/>
              </w:rPr>
              <w:t>64.4</w:t>
            </w:r>
          </w:p>
        </w:tc>
      </w:tr>
      <w:tr w:rsidR="00BE58EE" w:rsidRPr="00112A1E" w:rsidTr="00112A1E">
        <w:trPr>
          <w:trHeight w:val="255"/>
        </w:trPr>
        <w:tc>
          <w:tcPr>
            <w:tcW w:w="5103" w:type="dxa"/>
            <w:shd w:val="clear" w:color="auto" w:fill="auto"/>
            <w:hideMark/>
          </w:tcPr>
          <w:p w:rsidR="00BE58E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(9,10,11), 16-10 (11,12,13), 16-52 (1,2,3,4,5), 16-59 (3,4)</w:t>
            </w:r>
          </w:p>
        </w:tc>
        <w:tc>
          <w:tcPr>
            <w:tcW w:w="2268" w:type="dxa"/>
            <w:shd w:val="clear" w:color="auto" w:fill="auto"/>
            <w:noWrap/>
            <w:vAlign w:val="center"/>
            <w:hideMark/>
          </w:tcPr>
          <w:p w:rsidR="00BE58E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6.4</w:t>
            </w:r>
          </w:p>
        </w:tc>
        <w:tc>
          <w:tcPr>
            <w:tcW w:w="2268" w:type="dxa"/>
            <w:shd w:val="clear" w:color="auto" w:fill="auto"/>
            <w:noWrap/>
            <w:vAlign w:val="center"/>
            <w:hideMark/>
          </w:tcPr>
          <w:p w:rsidR="00BE58E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88521E" w:rsidRPr="00112A1E" w:rsidTr="00112A1E">
        <w:trPr>
          <w:trHeight w:val="255"/>
        </w:trPr>
        <w:tc>
          <w:tcPr>
            <w:tcW w:w="5103" w:type="dxa"/>
            <w:shd w:val="clear" w:color="auto" w:fill="auto"/>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16-7 (11,12), 16-9 (8), 16-10 (10), 16-59 (1)</w:t>
            </w: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7.4</w:t>
            </w: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88521E" w:rsidRPr="00112A1E" w:rsidTr="00112A1E">
        <w:trPr>
          <w:trHeight w:val="255"/>
        </w:trPr>
        <w:tc>
          <w:tcPr>
            <w:tcW w:w="5103" w:type="dxa"/>
            <w:shd w:val="clear" w:color="auto" w:fill="auto"/>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(7)</w:t>
            </w:r>
          </w:p>
        </w:tc>
        <w:tc>
          <w:tcPr>
            <w:tcW w:w="2268" w:type="dxa"/>
            <w:vMerge w:val="restart"/>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8.3</w:t>
            </w: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88521E" w:rsidRPr="00112A1E" w:rsidTr="00112A1E">
        <w:trPr>
          <w:trHeight w:val="255"/>
        </w:trPr>
        <w:tc>
          <w:tcPr>
            <w:tcW w:w="5103" w:type="dxa"/>
            <w:shd w:val="clear" w:color="auto" w:fill="auto"/>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16-12 (10,11)</w:t>
            </w:r>
          </w:p>
        </w:tc>
        <w:tc>
          <w:tcPr>
            <w:tcW w:w="2268" w:type="dxa"/>
            <w:vMerge/>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64.7</w:t>
            </w:r>
          </w:p>
        </w:tc>
      </w:tr>
      <w:tr w:rsidR="0088521E" w:rsidRPr="00112A1E" w:rsidTr="00112A1E">
        <w:trPr>
          <w:trHeight w:val="255"/>
        </w:trPr>
        <w:tc>
          <w:tcPr>
            <w:tcW w:w="5103" w:type="dxa"/>
            <w:shd w:val="clear" w:color="auto" w:fill="auto"/>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16-7 (9,10), 16-9 (6), 16-10 (8,9)</w:t>
            </w:r>
          </w:p>
        </w:tc>
        <w:tc>
          <w:tcPr>
            <w:tcW w:w="2268" w:type="dxa"/>
            <w:vMerge w:val="restart"/>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9.1</w:t>
            </w: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w:t>
            </w:r>
          </w:p>
        </w:tc>
      </w:tr>
      <w:tr w:rsidR="0088521E" w:rsidRPr="00112A1E" w:rsidTr="00112A1E">
        <w:trPr>
          <w:trHeight w:val="255"/>
        </w:trPr>
        <w:tc>
          <w:tcPr>
            <w:tcW w:w="5103" w:type="dxa"/>
            <w:shd w:val="clear" w:color="auto" w:fill="auto"/>
          </w:tcPr>
          <w:p w:rsidR="0088521E" w:rsidRPr="00112A1E" w:rsidRDefault="0088521E" w:rsidP="00BE58EE">
            <w:pPr>
              <w:spacing w:after="0" w:line="240" w:lineRule="auto"/>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16-12 (1)</w:t>
            </w:r>
          </w:p>
        </w:tc>
        <w:tc>
          <w:tcPr>
            <w:tcW w:w="2268" w:type="dxa"/>
            <w:vMerge/>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vAlign w:val="center"/>
          </w:tcPr>
          <w:p w:rsidR="0088521E" w:rsidRPr="00112A1E" w:rsidRDefault="0088521E" w:rsidP="00BE58EE">
            <w:pPr>
              <w:spacing w:after="0" w:line="240" w:lineRule="auto"/>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64.5</w:t>
            </w:r>
          </w:p>
        </w:tc>
      </w:tr>
    </w:tbl>
    <w:p w:rsidR="00BE58EE" w:rsidRPr="00112A1E" w:rsidRDefault="00BE58EE" w:rsidP="00BE58EE">
      <w:pPr>
        <w:pStyle w:val="underpoint"/>
        <w:spacing w:after="120"/>
        <w:jc w:val="left"/>
        <w:rPr>
          <w:b/>
        </w:rPr>
      </w:pPr>
    </w:p>
    <w:p w:rsidR="00BE58EE" w:rsidRPr="00112A1E" w:rsidRDefault="00BE58EE" w:rsidP="00BE58EE">
      <w:pPr>
        <w:spacing w:after="120" w:line="240" w:lineRule="auto"/>
        <w:ind w:firstLine="709"/>
        <w:jc w:val="both"/>
        <w:rPr>
          <w:rFonts w:ascii="Times New Roman" w:hAnsi="Times New Roman" w:cs="Times New Roman"/>
          <w:b/>
          <w:sz w:val="24"/>
          <w:szCs w:val="24"/>
        </w:rPr>
      </w:pPr>
      <w:r w:rsidRPr="00112A1E">
        <w:rPr>
          <w:rFonts w:ascii="Times New Roman" w:hAnsi="Times New Roman" w:cs="Times New Roman"/>
          <w:b/>
          <w:sz w:val="24"/>
          <w:szCs w:val="24"/>
        </w:rPr>
        <w:t xml:space="preserve">Таблица 2 – </w:t>
      </w:r>
      <w:r w:rsidR="00112A1E" w:rsidRPr="00112A1E">
        <w:rPr>
          <w:rFonts w:ascii="Times New Roman" w:hAnsi="Times New Roman" w:cs="Times New Roman"/>
          <w:b/>
          <w:sz w:val="24"/>
          <w:szCs w:val="24"/>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Style w:val="aa"/>
        <w:tblW w:w="5000" w:type="pct"/>
        <w:tblLook w:val="04A0" w:firstRow="1" w:lastRow="0" w:firstColumn="1" w:lastColumn="0" w:noHBand="0" w:noVBand="1"/>
      </w:tblPr>
      <w:tblGrid>
        <w:gridCol w:w="5248"/>
        <w:gridCol w:w="2333"/>
        <w:gridCol w:w="2333"/>
      </w:tblGrid>
      <w:tr w:rsidR="002D165D" w:rsidRPr="00112A1E" w:rsidTr="00112A1E">
        <w:trPr>
          <w:trHeight w:val="1155"/>
        </w:trPr>
        <w:tc>
          <w:tcPr>
            <w:tcW w:w="3428" w:type="dxa"/>
            <w:noWrap/>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Номера таблиц (норм)</w:t>
            </w:r>
          </w:p>
        </w:tc>
        <w:tc>
          <w:tcPr>
            <w:tcW w:w="2268" w:type="dxa"/>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268" w:type="dxa"/>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 xml:space="preserve">% транспортных расходов, включая </w:t>
            </w:r>
            <w:r w:rsidR="009F1B31" w:rsidRPr="00112A1E">
              <w:rPr>
                <w:rFonts w:ascii="Times New Roman" w:eastAsia="Times New Roman" w:hAnsi="Times New Roman" w:cs="Times New Roman"/>
                <w:b/>
                <w:bCs/>
                <w:sz w:val="20"/>
                <w:szCs w:val="20"/>
                <w:lang w:eastAsia="ru-RU"/>
              </w:rPr>
              <w:t>затраты на хранение</w:t>
            </w:r>
            <w:r w:rsidRPr="00112A1E">
              <w:rPr>
                <w:rFonts w:ascii="Times New Roman" w:eastAsia="Times New Roman" w:hAnsi="Times New Roman" w:cs="Times New Roman"/>
                <w:b/>
                <w:bCs/>
                <w:sz w:val="20"/>
                <w:szCs w:val="20"/>
                <w:lang w:eastAsia="ru-RU"/>
              </w:rPr>
              <w:t>, от стоимости вспомогательных материалов</w:t>
            </w:r>
          </w:p>
        </w:tc>
      </w:tr>
      <w:tr w:rsidR="0088521E" w:rsidRPr="00112A1E" w:rsidTr="00112A1E">
        <w:trPr>
          <w:trHeight w:val="159"/>
        </w:trPr>
        <w:tc>
          <w:tcPr>
            <w:tcW w:w="5103" w:type="dxa"/>
            <w:noWrap/>
          </w:tcPr>
          <w:p w:rsidR="0088521E" w:rsidRPr="00112A1E" w:rsidRDefault="0088521E" w:rsidP="0088521E">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1</w:t>
            </w:r>
          </w:p>
        </w:tc>
        <w:tc>
          <w:tcPr>
            <w:tcW w:w="2268" w:type="dxa"/>
          </w:tcPr>
          <w:p w:rsidR="0088521E" w:rsidRPr="00112A1E" w:rsidRDefault="0088521E" w:rsidP="0088521E">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2</w:t>
            </w:r>
          </w:p>
        </w:tc>
        <w:tc>
          <w:tcPr>
            <w:tcW w:w="2268" w:type="dxa"/>
          </w:tcPr>
          <w:p w:rsidR="0088521E" w:rsidRPr="00112A1E" w:rsidRDefault="0088521E" w:rsidP="0088521E">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3</w:t>
            </w:r>
          </w:p>
        </w:tc>
      </w:tr>
      <w:tr w:rsidR="0088521E" w:rsidRPr="00112A1E" w:rsidTr="00112A1E">
        <w:trPr>
          <w:trHeight w:val="255"/>
        </w:trPr>
        <w:tc>
          <w:tcPr>
            <w:tcW w:w="5103"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16-13 (1), 16-40 (1,5)</w:t>
            </w:r>
          </w:p>
        </w:tc>
        <w:tc>
          <w:tcPr>
            <w:tcW w:w="2268"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0.6</w:t>
            </w:r>
          </w:p>
        </w:tc>
        <w:tc>
          <w:tcPr>
            <w:tcW w:w="2268"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8.5</w:t>
            </w:r>
          </w:p>
        </w:tc>
      </w:tr>
      <w:tr w:rsidR="0088521E" w:rsidRPr="00112A1E" w:rsidTr="00112A1E">
        <w:trPr>
          <w:trHeight w:val="255"/>
        </w:trPr>
        <w:tc>
          <w:tcPr>
            <w:tcW w:w="5103"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 16-2, 16-3 (1,2,3,4,5,6), 16-11 (6), 16-12 (1,8,10,11), 16-17 (1,2,3,4,5,7), 16-18, 16-19 (1,2,4,5,6), 16-26 (2,3,4,5), 16-29 (3,4), 16-30 (2,3), 16-35 (3,4), 16-40 (2,3,4,6,7,8), 16-41 (4,8), 16-51 (1), 16-52 (6,8,9,10,11)</w:t>
            </w:r>
          </w:p>
        </w:tc>
        <w:tc>
          <w:tcPr>
            <w:tcW w:w="2268" w:type="dxa"/>
            <w:vMerge/>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268"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4A68B1" w:rsidRPr="00112A1E" w:rsidTr="00112A1E">
        <w:trPr>
          <w:trHeight w:val="255"/>
        </w:trPr>
        <w:tc>
          <w:tcPr>
            <w:tcW w:w="5103" w:type="dxa"/>
            <w:hideMark/>
          </w:tcPr>
          <w:p w:rsidR="004A68B1" w:rsidRPr="00112A1E" w:rsidRDefault="004A68B1" w:rsidP="00181149">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16-13 (2), 16-35 (1)</w:t>
            </w:r>
          </w:p>
        </w:tc>
        <w:tc>
          <w:tcPr>
            <w:tcW w:w="2268" w:type="dxa"/>
            <w:vMerge w:val="restart"/>
            <w:noWrap/>
            <w:vAlign w:val="center"/>
            <w:hideMark/>
          </w:tcPr>
          <w:p w:rsidR="004A68B1" w:rsidRPr="00112A1E" w:rsidRDefault="004A68B1" w:rsidP="004A68B1">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1.5</w:t>
            </w:r>
          </w:p>
        </w:tc>
        <w:tc>
          <w:tcPr>
            <w:tcW w:w="2268" w:type="dxa"/>
            <w:noWrap/>
            <w:hideMark/>
          </w:tcPr>
          <w:p w:rsidR="004A68B1" w:rsidRPr="00112A1E" w:rsidRDefault="004A68B1" w:rsidP="00181149">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8.5</w:t>
            </w:r>
          </w:p>
        </w:tc>
      </w:tr>
      <w:tr w:rsidR="004A68B1" w:rsidRPr="00112A1E" w:rsidTr="00112A1E">
        <w:trPr>
          <w:trHeight w:val="255"/>
        </w:trPr>
        <w:tc>
          <w:tcPr>
            <w:tcW w:w="5103" w:type="dxa"/>
            <w:hideMark/>
          </w:tcPr>
          <w:p w:rsidR="004A68B1" w:rsidRPr="00112A1E" w:rsidRDefault="004A68B1" w:rsidP="00181149">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 (7), 16-4, 16-6, 16-7 (7,8,9,10,11), 16-8 (1,2,3,4,5), 16-9 (8,9,10,11), 16-12 (2,3,4,5,6,7,9), 16-17 (6), 16-19 (3), 16-20 (3,4,5), 16-28, 16-29 (2), 16-30 (1,4), 16-32 (10), 16-34 (2,4), 16-35 (2), 16-41 (2,3,6,7), 16-52 (7), 16-56 (2,4)</w:t>
            </w:r>
          </w:p>
        </w:tc>
        <w:tc>
          <w:tcPr>
            <w:tcW w:w="2268" w:type="dxa"/>
            <w:vMerge/>
            <w:noWrap/>
            <w:hideMark/>
          </w:tcPr>
          <w:p w:rsidR="004A68B1" w:rsidRPr="00112A1E" w:rsidRDefault="004A68B1" w:rsidP="00181149">
            <w:pPr>
              <w:jc w:val="center"/>
              <w:rPr>
                <w:rFonts w:ascii="Times New Roman" w:eastAsia="Times New Roman" w:hAnsi="Times New Roman" w:cs="Times New Roman"/>
                <w:b/>
                <w:sz w:val="20"/>
                <w:szCs w:val="20"/>
                <w:lang w:eastAsia="ru-RU"/>
              </w:rPr>
            </w:pPr>
          </w:p>
        </w:tc>
        <w:tc>
          <w:tcPr>
            <w:tcW w:w="2268" w:type="dxa"/>
            <w:noWrap/>
            <w:vAlign w:val="center"/>
            <w:hideMark/>
          </w:tcPr>
          <w:p w:rsidR="004A68B1" w:rsidRPr="00112A1E" w:rsidRDefault="004A68B1" w:rsidP="004A68B1">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bl>
    <w:p w:rsidR="004A68B1" w:rsidRPr="00112A1E" w:rsidRDefault="004A68B1" w:rsidP="004A68B1">
      <w:pPr>
        <w:jc w:val="right"/>
        <w:rPr>
          <w:rFonts w:ascii="Times New Roman" w:hAnsi="Times New Roman" w:cs="Times New Roman"/>
          <w:b/>
          <w:sz w:val="24"/>
          <w:szCs w:val="24"/>
        </w:rPr>
      </w:pPr>
      <w:r w:rsidRPr="00112A1E">
        <w:rPr>
          <w:rFonts w:ascii="Times New Roman" w:hAnsi="Times New Roman" w:cs="Times New Roman"/>
          <w:b/>
          <w:sz w:val="24"/>
          <w:szCs w:val="24"/>
        </w:rPr>
        <w:lastRenderedPageBreak/>
        <w:t>Продолжение таблицы 2</w:t>
      </w:r>
    </w:p>
    <w:tbl>
      <w:tblPr>
        <w:tblStyle w:val="aa"/>
        <w:tblW w:w="9918" w:type="dxa"/>
        <w:tblLook w:val="04A0" w:firstRow="1" w:lastRow="0" w:firstColumn="1" w:lastColumn="0" w:noHBand="0" w:noVBand="1"/>
      </w:tblPr>
      <w:tblGrid>
        <w:gridCol w:w="5250"/>
        <w:gridCol w:w="2334"/>
        <w:gridCol w:w="2334"/>
      </w:tblGrid>
      <w:tr w:rsidR="002D165D" w:rsidRPr="00112A1E" w:rsidTr="00112A1E">
        <w:trPr>
          <w:trHeight w:val="255"/>
        </w:trPr>
        <w:tc>
          <w:tcPr>
            <w:tcW w:w="5250" w:type="dxa"/>
            <w:noWrap/>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Номера таблиц (норм)</w:t>
            </w:r>
          </w:p>
        </w:tc>
        <w:tc>
          <w:tcPr>
            <w:tcW w:w="2334" w:type="dxa"/>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334" w:type="dxa"/>
            <w:vAlign w:val="center"/>
            <w:hideMark/>
          </w:tcPr>
          <w:p w:rsidR="002D165D" w:rsidRPr="00112A1E" w:rsidRDefault="002D165D" w:rsidP="002D165D">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 xml:space="preserve">% транспортных расходов, включая </w:t>
            </w:r>
            <w:r w:rsidR="009F1B31" w:rsidRPr="00112A1E">
              <w:rPr>
                <w:rFonts w:ascii="Times New Roman" w:eastAsia="Times New Roman" w:hAnsi="Times New Roman" w:cs="Times New Roman"/>
                <w:b/>
                <w:bCs/>
                <w:sz w:val="20"/>
                <w:szCs w:val="20"/>
                <w:lang w:eastAsia="ru-RU"/>
              </w:rPr>
              <w:t>затраты на хранение</w:t>
            </w:r>
            <w:r w:rsidRPr="00112A1E">
              <w:rPr>
                <w:rFonts w:ascii="Times New Roman" w:eastAsia="Times New Roman" w:hAnsi="Times New Roman" w:cs="Times New Roman"/>
                <w:b/>
                <w:bCs/>
                <w:sz w:val="20"/>
                <w:szCs w:val="20"/>
                <w:lang w:eastAsia="ru-RU"/>
              </w:rPr>
              <w:t>, от стоимости вспомогательных материалов</w:t>
            </w:r>
          </w:p>
        </w:tc>
      </w:tr>
      <w:tr w:rsidR="004A68B1" w:rsidRPr="00112A1E" w:rsidTr="00112A1E">
        <w:trPr>
          <w:trHeight w:val="255"/>
        </w:trPr>
        <w:tc>
          <w:tcPr>
            <w:tcW w:w="5250" w:type="dxa"/>
            <w:noWrap/>
          </w:tcPr>
          <w:p w:rsidR="004A68B1" w:rsidRPr="00112A1E" w:rsidRDefault="004A68B1" w:rsidP="00181149">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1</w:t>
            </w:r>
          </w:p>
        </w:tc>
        <w:tc>
          <w:tcPr>
            <w:tcW w:w="2334" w:type="dxa"/>
          </w:tcPr>
          <w:p w:rsidR="004A68B1" w:rsidRPr="00112A1E" w:rsidRDefault="004A68B1" w:rsidP="00181149">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2</w:t>
            </w:r>
          </w:p>
        </w:tc>
        <w:tc>
          <w:tcPr>
            <w:tcW w:w="2334" w:type="dxa"/>
          </w:tcPr>
          <w:p w:rsidR="004A68B1" w:rsidRPr="00112A1E" w:rsidRDefault="004A68B1" w:rsidP="00181149">
            <w:pPr>
              <w:jc w:val="center"/>
              <w:rPr>
                <w:rFonts w:ascii="Times New Roman" w:eastAsia="Times New Roman" w:hAnsi="Times New Roman" w:cs="Times New Roman"/>
                <w:b/>
                <w:bCs/>
                <w:sz w:val="20"/>
                <w:szCs w:val="20"/>
                <w:lang w:eastAsia="ru-RU"/>
              </w:rPr>
            </w:pPr>
            <w:r w:rsidRPr="00112A1E">
              <w:rPr>
                <w:rFonts w:ascii="Times New Roman" w:eastAsia="Times New Roman" w:hAnsi="Times New Roman" w:cs="Times New Roman"/>
                <w:b/>
                <w:bCs/>
                <w:sz w:val="20"/>
                <w:szCs w:val="20"/>
                <w:lang w:eastAsia="ru-RU"/>
              </w:rPr>
              <w:t>3</w:t>
            </w:r>
          </w:p>
        </w:tc>
      </w:tr>
      <w:tr w:rsidR="002D165D" w:rsidRPr="00112A1E" w:rsidTr="00112A1E">
        <w:trPr>
          <w:trHeight w:val="255"/>
        </w:trPr>
        <w:tc>
          <w:tcPr>
            <w:tcW w:w="5250" w:type="dxa"/>
            <w:hideMark/>
          </w:tcPr>
          <w:p w:rsidR="002D165D" w:rsidRPr="00112A1E" w:rsidRDefault="002D165D" w:rsidP="008E29F0">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16-32 (7,8,9,11,12)</w:t>
            </w:r>
          </w:p>
        </w:tc>
        <w:tc>
          <w:tcPr>
            <w:tcW w:w="2334" w:type="dxa"/>
            <w:noWrap/>
            <w:vAlign w:val="center"/>
            <w:hideMark/>
          </w:tcPr>
          <w:p w:rsidR="002D165D" w:rsidRPr="00112A1E" w:rsidRDefault="002D165D" w:rsidP="002D165D">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1.5</w:t>
            </w:r>
          </w:p>
        </w:tc>
        <w:tc>
          <w:tcPr>
            <w:tcW w:w="2334" w:type="dxa"/>
            <w:noWrap/>
            <w:hideMark/>
          </w:tcPr>
          <w:p w:rsidR="002D165D" w:rsidRPr="00112A1E" w:rsidRDefault="002D165D" w:rsidP="008E29F0">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10.5</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16-25, 16-27 (10), 16-44</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2.5</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7.2</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16-41 (1,5)</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8.6</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16-7 (12), 16-8 (6), 16-17 (8), 16-22 (3,4), 16-23 (4), 16-34 (3), 16-46 (4,5,6,9,11,12), 16-57 (2)</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16-32 (3,5,6)</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11.5</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16-32 (2)</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12.5</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16-32 (1)</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13.9</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16-24 (2)</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3.5</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16-24 (1), 16-36 (2,3), 16-43</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7.2</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16-27 (11)</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8.3</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16-5 (1), 16-10 (5,11,12,13), 16-14 (9,10,11), 16-22 (2), 16-23 (2,3), 16-27 (4,5), 16-32 (4), 16-33 (4,5,6), 16-34 (1), 16-37, 16-38, 16-46 (2,3,10), 16-47 (6,13), 16-51 (3), 16-52 (2), 16-53 (2), 16-56 (1,3), 16-57 (1)</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16-27 (6,8,9)</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4.4</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7.8</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(5), 16-10 (3,4,6,10), 16-11 (1), 16-14 (6), 16-22 (1), 16-23 (1), 16-27 (2,3), 16-29 (1), 16-33 (3), 16-46 (8), 16-47 (3,4,10,11), 16-52 (1,3,4,5), 16-59 (1,2,5,6)</w:t>
            </w:r>
          </w:p>
        </w:tc>
        <w:tc>
          <w:tcPr>
            <w:tcW w:w="2334" w:type="dxa"/>
            <w:vMerge/>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16-27 (7)</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5.5</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7.8</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(7), 16-11 (2,3,5), 16-14 (1,2,3,4,5), 16-27 (1), 16-33 (2), 16-46 (13), 16-47 (2,5,7,9,12,14)</w:t>
            </w:r>
          </w:p>
        </w:tc>
        <w:tc>
          <w:tcPr>
            <w:tcW w:w="2334" w:type="dxa"/>
            <w:vMerge/>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16-5 (2,3,4), 16-9 (6), 16-11 (4), 16-14 (7,8), 16-46 (1), 16-47 (1,8), 16-59 (3,4,7,8), 16-60 (2,4)</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6.6</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16-20 (2)</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7.4</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5.8</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16-36 (1)</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6.3</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16-62</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(1,2), 16-10 (2,8,9), 16-53 (1), 16-60 (1,3,5,6,7,8)</w:t>
            </w:r>
          </w:p>
        </w:tc>
        <w:tc>
          <w:tcPr>
            <w:tcW w:w="2334" w:type="dxa"/>
            <w:vMerge/>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16-42, 16-45</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8.7</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6.9</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16-9 (3,4), 16-10 (7), 16-33 (1)</w:t>
            </w:r>
          </w:p>
        </w:tc>
        <w:tc>
          <w:tcPr>
            <w:tcW w:w="2334" w:type="dxa"/>
            <w:vMerge/>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16-20 (1), 16-39</w:t>
            </w:r>
          </w:p>
        </w:tc>
        <w:tc>
          <w:tcPr>
            <w:tcW w:w="2334" w:type="dxa"/>
            <w:vMerge w:val="restart"/>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9.6</w:t>
            </w: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5.7</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16-36 (4)</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6.9</w:t>
            </w:r>
          </w:p>
        </w:tc>
      </w:tr>
      <w:tr w:rsidR="0088521E" w:rsidRPr="00112A1E" w:rsidTr="00112A1E">
        <w:trPr>
          <w:trHeight w:val="255"/>
        </w:trPr>
        <w:tc>
          <w:tcPr>
            <w:tcW w:w="5250" w:type="dxa"/>
            <w:hideMark/>
          </w:tcPr>
          <w:p w:rsidR="0088521E" w:rsidRPr="00112A1E" w:rsidRDefault="0088521E" w:rsidP="00526A57">
            <w:pP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16-10 (1), 16-46 (7,14), 16-51 (2)</w:t>
            </w:r>
          </w:p>
        </w:tc>
        <w:tc>
          <w:tcPr>
            <w:tcW w:w="2334" w:type="dxa"/>
            <w:vMerge/>
            <w:noWrap/>
            <w:vAlign w:val="center"/>
          </w:tcPr>
          <w:p w:rsidR="0088521E" w:rsidRPr="00112A1E" w:rsidRDefault="0088521E" w:rsidP="00526A57">
            <w:pPr>
              <w:jc w:val="center"/>
              <w:rPr>
                <w:rFonts w:ascii="Times New Roman" w:eastAsia="Times New Roman" w:hAnsi="Times New Roman" w:cs="Times New Roman"/>
                <w:b/>
                <w:sz w:val="20"/>
                <w:szCs w:val="20"/>
                <w:lang w:eastAsia="ru-RU"/>
              </w:rPr>
            </w:pPr>
          </w:p>
        </w:tc>
        <w:tc>
          <w:tcPr>
            <w:tcW w:w="2334" w:type="dxa"/>
            <w:noWrap/>
            <w:vAlign w:val="center"/>
            <w:hideMark/>
          </w:tcPr>
          <w:p w:rsidR="0088521E" w:rsidRPr="00112A1E" w:rsidRDefault="0088521E" w:rsidP="00526A57">
            <w:pPr>
              <w:jc w:val="center"/>
              <w:rPr>
                <w:rFonts w:ascii="Times New Roman" w:eastAsia="Times New Roman" w:hAnsi="Times New Roman" w:cs="Times New Roman"/>
                <w:b/>
                <w:sz w:val="20"/>
                <w:szCs w:val="20"/>
                <w:lang w:eastAsia="ru-RU"/>
              </w:rPr>
            </w:pPr>
            <w:r w:rsidRPr="00112A1E">
              <w:rPr>
                <w:rFonts w:ascii="Times New Roman" w:eastAsia="Times New Roman" w:hAnsi="Times New Roman" w:cs="Times New Roman"/>
                <w:b/>
                <w:sz w:val="20"/>
                <w:szCs w:val="20"/>
                <w:lang w:eastAsia="ru-RU"/>
              </w:rPr>
              <w:t>9.7</w:t>
            </w:r>
          </w:p>
        </w:tc>
      </w:tr>
    </w:tbl>
    <w:p w:rsidR="002D165D" w:rsidRPr="00112A1E" w:rsidRDefault="00112A1E" w:rsidP="002D165D">
      <w:pPr>
        <w:pStyle w:val="numheader"/>
        <w:spacing w:after="0"/>
        <w:ind w:firstLine="567"/>
        <w:jc w:val="both"/>
        <w:rPr>
          <w:bCs w:val="0"/>
        </w:rPr>
      </w:pPr>
      <w:bookmarkStart w:id="1" w:name="_Hlk183792895"/>
      <w:r w:rsidRPr="00112A1E">
        <w:rPr>
          <w:bCs w:val="0"/>
        </w:rPr>
        <w:t>Затраты на эксплуатацию вспомогательных машин и механизмов учитывают затраты</w:t>
      </w:r>
      <w:bookmarkEnd w:id="1"/>
      <w:r w:rsidRPr="00112A1E">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Pr="00112A1E">
        <w:rPr>
          <w:bCs w:val="0"/>
        </w:rPr>
        <w:t xml:space="preserve">): </w:t>
      </w:r>
      <w:r w:rsidR="002D165D" w:rsidRPr="00112A1E">
        <w:rPr>
          <w:bCs w:val="0"/>
        </w:rPr>
        <w:t>аппараты для газовой сварки и резки, дрели, лебедки, машины шлифовальные, средства малой механизации, шуруповерты и др.</w:t>
      </w:r>
    </w:p>
    <w:p w:rsidR="002D165D" w:rsidRPr="00112A1E" w:rsidRDefault="00112A1E" w:rsidP="002D165D">
      <w:pPr>
        <w:pStyle w:val="numheader"/>
        <w:spacing w:before="0" w:after="0"/>
        <w:ind w:firstLine="567"/>
        <w:jc w:val="both"/>
        <w:rPr>
          <w:bCs w:val="0"/>
        </w:rPr>
      </w:pPr>
      <w:bookmarkStart w:id="2" w:name="_Hlk183792908"/>
      <w:r w:rsidRPr="00112A1E">
        <w:rPr>
          <w:bCs w:val="0"/>
        </w:rPr>
        <w:t>Затраты на вспомогательные материалы учитывают затраты</w:t>
      </w:r>
      <w:bookmarkEnd w:id="2"/>
      <w:r w:rsidRPr="00112A1E">
        <w:rPr>
          <w:bCs w:val="0"/>
        </w:rPr>
        <w:t xml:space="preserve"> на следующие материалы (за исключением нормативов, в которых они учтены</w:t>
      </w:r>
      <w:bookmarkStart w:id="3" w:name="_Hlk182900180"/>
      <w:r w:rsidRPr="00112A1E">
        <w:rPr>
          <w:bCs w:val="0"/>
        </w:rPr>
        <w:t xml:space="preserve"> в составе нормативов расхода ресурсов в натуральном выражении и (или) предусмотрены, как материалы по проекту</w:t>
      </w:r>
      <w:bookmarkEnd w:id="3"/>
      <w:r w:rsidRPr="00112A1E">
        <w:rPr>
          <w:bCs w:val="0"/>
        </w:rPr>
        <w:t>):</w:t>
      </w:r>
      <w:r w:rsidR="002D165D" w:rsidRPr="00112A1E">
        <w:rPr>
          <w:bCs w:val="0"/>
        </w:rPr>
        <w:t xml:space="preserve"> анкерные болты с гайками, ацетилен технический, болты с гайками и шайбами для санитарно-технических работ, ветошь, винты, герметики, грунтовка, дюбели, дюбели с шурупами, дюбель-втулки, известь хлорная, каболка, кислород технический, клей, контргайки, круги отрезные, круги шлифовальные, лаки, лента ФУМ, ленты монтажные, льняная прядь, муфты прямые короткие, мыло, олифа, пластины резиновые технические, подвески резьбовые, портландцемент, проволока медная, проволока сварочная, проволока </w:t>
      </w:r>
      <w:r w:rsidR="002D165D" w:rsidRPr="00112A1E">
        <w:rPr>
          <w:bCs w:val="0"/>
        </w:rPr>
        <w:lastRenderedPageBreak/>
        <w:t>стальная, прокладки из паронита, растворы, рубероид, сверла, сурик свинцовый, сухая цементная смесь, трубы, уайт-спирит, шурупы, электроды и др.</w:t>
      </w:r>
    </w:p>
    <w:p w:rsidR="002D165D" w:rsidRPr="00112A1E" w:rsidRDefault="002D165D" w:rsidP="002D165D">
      <w:pPr>
        <w:pStyle w:val="underpoint"/>
        <w:rPr>
          <w:b/>
        </w:rPr>
      </w:pPr>
    </w:p>
    <w:p w:rsidR="002D165D" w:rsidRPr="00112A1E" w:rsidRDefault="002D165D" w:rsidP="002D165D">
      <w:pPr>
        <w:pStyle w:val="underpoint"/>
        <w:rPr>
          <w:b/>
        </w:rPr>
      </w:pPr>
    </w:p>
    <w:p w:rsidR="00E55472" w:rsidRPr="00112A1E" w:rsidRDefault="00E55472" w:rsidP="00687FC4">
      <w:pPr>
        <w:pStyle w:val="numheader"/>
        <w:spacing w:before="0"/>
        <w:rPr>
          <w:sz w:val="28"/>
          <w:szCs w:val="28"/>
        </w:rPr>
      </w:pPr>
      <w:r w:rsidRPr="00112A1E">
        <w:rPr>
          <w:sz w:val="28"/>
          <w:szCs w:val="28"/>
        </w:rPr>
        <w:t>2. ПРАВИЛА ОПРЕДЕЛЕНИЯ ОБЪЕМОВ РАБОТ</w:t>
      </w:r>
    </w:p>
    <w:p w:rsidR="00E55472" w:rsidRPr="00112A1E" w:rsidRDefault="00E55472">
      <w:pPr>
        <w:pStyle w:val="underpoint"/>
        <w:rPr>
          <w:b/>
        </w:rPr>
      </w:pPr>
      <w:r w:rsidRPr="00112A1E">
        <w:rPr>
          <w:b/>
        </w:rPr>
        <w:t>2.1. Объем работ по прокладке трубопроводов следует определять:</w:t>
      </w:r>
    </w:p>
    <w:p w:rsidR="00E55472" w:rsidRPr="00112A1E" w:rsidRDefault="00E55472">
      <w:pPr>
        <w:pStyle w:val="newncpi"/>
        <w:rPr>
          <w:b/>
        </w:rPr>
      </w:pPr>
      <w:r w:rsidRPr="00112A1E">
        <w:rPr>
          <w:b/>
        </w:rPr>
        <w:t>из чугунных напорных труб – по длине труб, масса фасонных частей принимается по проектным данным;</w:t>
      </w:r>
    </w:p>
    <w:p w:rsidR="00E55472" w:rsidRPr="00112A1E" w:rsidRDefault="00E55472">
      <w:pPr>
        <w:pStyle w:val="newncpi"/>
        <w:rPr>
          <w:b/>
        </w:rPr>
      </w:pPr>
      <w:r w:rsidRPr="00112A1E">
        <w:rPr>
          <w:b/>
        </w:rPr>
        <w:t>из чугунных канализационных и пластмассовых труб – по проектной длине трубопроводов без вычета участков, занимаемых фасонными частями и арматурой;</w:t>
      </w:r>
    </w:p>
    <w:p w:rsidR="00E55472" w:rsidRPr="00112A1E" w:rsidRDefault="00E55472">
      <w:pPr>
        <w:pStyle w:val="newncpi"/>
        <w:rPr>
          <w:b/>
        </w:rPr>
      </w:pPr>
      <w:r w:rsidRPr="00112A1E">
        <w:rPr>
          <w:b/>
        </w:rPr>
        <w:t>из стальных водогазопроводных, бесшовных и электросварных труб – по проектной длине трубопроводов без вычета участков, занимаемых фасонными частями, арматурой и П-образными компенсаторами.</w:t>
      </w:r>
    </w:p>
    <w:p w:rsidR="00E55472" w:rsidRPr="00112A1E" w:rsidRDefault="00E55472">
      <w:pPr>
        <w:pStyle w:val="underpoint"/>
        <w:rPr>
          <w:b/>
        </w:rPr>
      </w:pPr>
      <w:r w:rsidRPr="00112A1E">
        <w:rPr>
          <w:b/>
        </w:rPr>
        <w:t>2.2. Объем работ по прокладке трубопроводов обвязки котлов, водоподогревателей и насосов определяется по проектной длине трубопроводов, расположенных в пределах агрегата, до точки подключения их к подводящим и отводящим сетям.</w:t>
      </w:r>
    </w:p>
    <w:p w:rsidR="00E55472" w:rsidRPr="00112A1E" w:rsidRDefault="00E55472">
      <w:pPr>
        <w:pStyle w:val="underpoint"/>
        <w:rPr>
          <w:b/>
        </w:rPr>
      </w:pPr>
      <w:r w:rsidRPr="00112A1E">
        <w:rPr>
          <w:b/>
        </w:rPr>
        <w:t xml:space="preserve">2.3. Не включаются в объем работ трубопроводы обвязки узлов водомерных, элеваторных, ручных насосов, конденсатоотводчиков, узлов учета газа от </w:t>
      </w:r>
      <w:proofErr w:type="spellStart"/>
      <w:r w:rsidRPr="00112A1E">
        <w:rPr>
          <w:b/>
        </w:rPr>
        <w:t>термозапорного</w:t>
      </w:r>
      <w:proofErr w:type="spellEnd"/>
      <w:r w:rsidRPr="00112A1E">
        <w:rPr>
          <w:b/>
        </w:rPr>
        <w:t xml:space="preserve"> клапана, а также трубопроводы распределительных гребенок, учтенные в соответствующих нормативах сборников на внутренние устройства.</w:t>
      </w:r>
    </w:p>
    <w:p w:rsidR="00E55472" w:rsidRPr="00112A1E" w:rsidRDefault="00E55472">
      <w:pPr>
        <w:pStyle w:val="underpoint"/>
        <w:rPr>
          <w:b/>
        </w:rPr>
      </w:pPr>
      <w:r w:rsidRPr="00112A1E">
        <w:rPr>
          <w:b/>
        </w:rPr>
        <w:t>2.4. Количество, тип и диаметр арматуры, устанавливаемой на трубопроводах, определяется по проектным данным. При этом в объем работ не включается арматура, входящая в комплект поставки отопительных котлов, емкостных водоподогревателей, узлов конденсатоотводчиков и ручных насосов, муфтовая арматура элеваторных узлов, а также вся арматура, устанавливаемая в пределах водомерных узлов.</w:t>
      </w:r>
    </w:p>
    <w:p w:rsidR="00E55472" w:rsidRPr="00112A1E" w:rsidRDefault="00E55472" w:rsidP="00687FC4">
      <w:pPr>
        <w:pStyle w:val="underpoint"/>
        <w:rPr>
          <w:b/>
        </w:rPr>
      </w:pPr>
      <w:r w:rsidRPr="00112A1E">
        <w:rPr>
          <w:b/>
        </w:rPr>
        <w:t>2.5. Объем работ по гидравлическому испытанию стальных трубопроводов определяется по проектной длине всех трубопроводов системы, включая П-образные компенсаторы и участки, занимаемые фасонными частями и арматурой.</w:t>
      </w:r>
    </w:p>
    <w:p w:rsidR="00687FC4" w:rsidRPr="00112A1E" w:rsidRDefault="00687FC4" w:rsidP="00687FC4">
      <w:pPr>
        <w:pStyle w:val="underpoint"/>
        <w:rPr>
          <w:b/>
        </w:rPr>
      </w:pPr>
    </w:p>
    <w:p w:rsidR="00687FC4" w:rsidRPr="00112A1E" w:rsidRDefault="00687FC4" w:rsidP="00687FC4">
      <w:pPr>
        <w:pStyle w:val="underpoint"/>
        <w:rPr>
          <w:b/>
        </w:rPr>
      </w:pPr>
    </w:p>
    <w:p w:rsidR="00E55472" w:rsidRPr="00112A1E" w:rsidRDefault="00E55472" w:rsidP="00687FC4">
      <w:pPr>
        <w:pStyle w:val="numheader"/>
        <w:spacing w:before="0"/>
        <w:rPr>
          <w:sz w:val="28"/>
          <w:szCs w:val="28"/>
        </w:rPr>
      </w:pPr>
      <w:r w:rsidRPr="00112A1E">
        <w:rPr>
          <w:sz w:val="28"/>
          <w:szCs w:val="28"/>
        </w:rP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04"/>
        <w:gridCol w:w="1654"/>
        <w:gridCol w:w="1202"/>
        <w:gridCol w:w="1953"/>
        <w:gridCol w:w="1501"/>
      </w:tblGrid>
      <w:tr w:rsidR="00E55472" w:rsidRPr="00112A1E" w:rsidTr="0031494B">
        <w:trPr>
          <w:cantSplit/>
          <w:trHeight w:val="240"/>
          <w:tblHeader/>
        </w:trPr>
        <w:tc>
          <w:tcPr>
            <w:tcW w:w="1818" w:type="pct"/>
            <w:vMerge w:val="restart"/>
            <w:tcBorders>
              <w:bottom w:val="single" w:sz="4" w:space="0" w:color="auto"/>
              <w:right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Условия применения</w:t>
            </w:r>
          </w:p>
        </w:tc>
        <w:tc>
          <w:tcPr>
            <w:tcW w:w="83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Номера таблиц (норм)</w:t>
            </w:r>
          </w:p>
        </w:tc>
        <w:tc>
          <w:tcPr>
            <w:tcW w:w="2348" w:type="pct"/>
            <w:gridSpan w:val="3"/>
            <w:tcBorders>
              <w:left w:val="single" w:sz="4" w:space="0" w:color="auto"/>
              <w:bottom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Коэффициенты к</w:t>
            </w:r>
          </w:p>
        </w:tc>
      </w:tr>
      <w:tr w:rsidR="00E55472" w:rsidRPr="00112A1E" w:rsidTr="0031494B">
        <w:trPr>
          <w:cantSplit/>
          <w:trHeight w:val="240"/>
          <w:tblHeader/>
        </w:trPr>
        <w:tc>
          <w:tcPr>
            <w:tcW w:w="0" w:type="auto"/>
            <w:vMerge/>
            <w:tcBorders>
              <w:bottom w:val="single" w:sz="4" w:space="0" w:color="auto"/>
              <w:right w:val="single" w:sz="4" w:space="0" w:color="auto"/>
            </w:tcBorders>
            <w:vAlign w:val="center"/>
            <w:hideMark/>
          </w:tcPr>
          <w:p w:rsidR="00E55472" w:rsidRPr="00112A1E" w:rsidRDefault="00E55472">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E55472" w:rsidRPr="00112A1E" w:rsidRDefault="00E55472">
            <w:pPr>
              <w:rPr>
                <w:rFonts w:eastAsiaTheme="minorEastAsia"/>
                <w:b/>
                <w:sz w:val="20"/>
                <w:szCs w:val="20"/>
              </w:rPr>
            </w:pP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нормам затрат труда рабочих</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нормам затрат труда машинистов и нормам времени эксплуатации машин и механизмов</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55472" w:rsidRPr="00112A1E" w:rsidRDefault="00E55472">
            <w:pPr>
              <w:pStyle w:val="table10"/>
              <w:jc w:val="center"/>
              <w:rPr>
                <w:b/>
              </w:rPr>
            </w:pPr>
            <w:r w:rsidRPr="00112A1E">
              <w:rPr>
                <w:b/>
              </w:rPr>
              <w:t>нормам расхода материалов, изделий и конструкций</w:t>
            </w:r>
          </w:p>
        </w:tc>
      </w:tr>
      <w:tr w:rsidR="00F67A86" w:rsidRPr="00112A1E" w:rsidTr="0031494B">
        <w:trPr>
          <w:cantSplit/>
          <w:trHeight w:hRule="exact" w:val="227"/>
          <w:tblHeader/>
        </w:trPr>
        <w:tc>
          <w:tcPr>
            <w:tcW w:w="0" w:type="auto"/>
            <w:tcBorders>
              <w:bottom w:val="single" w:sz="4" w:space="0" w:color="auto"/>
              <w:right w:val="single" w:sz="4" w:space="0" w:color="auto"/>
            </w:tcBorders>
            <w:vAlign w:val="center"/>
          </w:tcPr>
          <w:p w:rsidR="00F67A86" w:rsidRPr="00112A1E" w:rsidRDefault="00F67A86" w:rsidP="00F67A86">
            <w:pPr>
              <w:jc w:val="center"/>
              <w:rPr>
                <w:rFonts w:eastAsiaTheme="minorEastAsia"/>
                <w:b/>
                <w:sz w:val="20"/>
                <w:szCs w:val="20"/>
              </w:rPr>
            </w:pPr>
            <w:r w:rsidRPr="00112A1E">
              <w:rPr>
                <w:rFonts w:eastAsiaTheme="minorEastAsia"/>
                <w:b/>
                <w:sz w:val="20"/>
                <w:szCs w:val="20"/>
              </w:rPr>
              <w:t>1</w:t>
            </w:r>
          </w:p>
        </w:tc>
        <w:tc>
          <w:tcPr>
            <w:tcW w:w="0" w:type="auto"/>
            <w:tcBorders>
              <w:left w:val="single" w:sz="4" w:space="0" w:color="auto"/>
              <w:bottom w:val="single" w:sz="4" w:space="0" w:color="auto"/>
              <w:right w:val="single" w:sz="4" w:space="0" w:color="auto"/>
            </w:tcBorders>
            <w:vAlign w:val="center"/>
          </w:tcPr>
          <w:p w:rsidR="00F67A86" w:rsidRPr="00112A1E" w:rsidRDefault="00F67A86" w:rsidP="00F67A86">
            <w:pPr>
              <w:jc w:val="center"/>
              <w:rPr>
                <w:rFonts w:eastAsiaTheme="minorEastAsia"/>
                <w:b/>
                <w:sz w:val="20"/>
                <w:szCs w:val="20"/>
              </w:rPr>
            </w:pPr>
            <w:r w:rsidRPr="00112A1E">
              <w:rPr>
                <w:rFonts w:eastAsiaTheme="minorEastAsia"/>
                <w:b/>
                <w:sz w:val="20"/>
                <w:szCs w:val="20"/>
              </w:rPr>
              <w:t>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67A86" w:rsidRPr="00112A1E" w:rsidRDefault="00F67A86" w:rsidP="00F67A86">
            <w:pPr>
              <w:pStyle w:val="table10"/>
              <w:jc w:val="center"/>
              <w:rPr>
                <w:b/>
              </w:rPr>
            </w:pPr>
            <w:r w:rsidRPr="00112A1E">
              <w:rPr>
                <w:b/>
              </w:rPr>
              <w:t>3</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67A86" w:rsidRPr="00112A1E" w:rsidRDefault="00F67A86" w:rsidP="00F67A86">
            <w:pPr>
              <w:pStyle w:val="table10"/>
              <w:jc w:val="center"/>
              <w:rPr>
                <w:b/>
              </w:rPr>
            </w:pPr>
            <w:r w:rsidRPr="00112A1E">
              <w:rPr>
                <w:b/>
              </w:rPr>
              <w:t>4</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67A86" w:rsidRPr="00112A1E" w:rsidRDefault="00F67A86" w:rsidP="00F67A86">
            <w:pPr>
              <w:pStyle w:val="table10"/>
              <w:jc w:val="center"/>
              <w:rPr>
                <w:b/>
              </w:rPr>
            </w:pPr>
            <w:r w:rsidRPr="00112A1E">
              <w:rPr>
                <w:b/>
              </w:rPr>
              <w:t>5</w:t>
            </w:r>
          </w:p>
        </w:tc>
      </w:tr>
      <w:tr w:rsidR="00E55472" w:rsidRPr="00112A1E" w:rsidTr="0031494B">
        <w:trPr>
          <w:cantSplit/>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rPr>
                <w:b/>
              </w:rPr>
            </w:pPr>
            <w:r w:rsidRPr="00112A1E">
              <w:rPr>
                <w:b/>
              </w:rPr>
              <w:t>3.1. Прокладка трубопроводов и установка арматуры с передвижных подмостей и лестниц на высоте от пола или сплошного настила свыше 3 до 5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16-2,</w:t>
            </w:r>
            <w:r w:rsidRPr="00112A1E">
              <w:rPr>
                <w:b/>
              </w:rPr>
              <w:br/>
              <w:t>16-3,</w:t>
            </w:r>
            <w:r w:rsidRPr="00112A1E">
              <w:rPr>
                <w:b/>
              </w:rPr>
              <w:br/>
              <w:t>16-5 – 16-10,</w:t>
            </w:r>
            <w:r w:rsidRPr="00112A1E">
              <w:rPr>
                <w:b/>
              </w:rPr>
              <w:br/>
              <w:t>16-12 – 16-19,</w:t>
            </w:r>
            <w:r w:rsidRPr="00112A1E">
              <w:rPr>
                <w:b/>
              </w:rPr>
              <w:br/>
              <w:t>16-31 – 16-36,</w:t>
            </w:r>
            <w:r w:rsidRPr="00112A1E">
              <w:rPr>
                <w:b/>
              </w:rPr>
              <w:br/>
              <w:t>16-40 – 16-45,</w:t>
            </w:r>
            <w:r w:rsidRPr="00112A1E">
              <w:rPr>
                <w:b/>
              </w:rPr>
              <w:br/>
              <w:t>16-46 – 16-49,</w:t>
            </w:r>
            <w:r w:rsidRPr="00112A1E">
              <w:rPr>
                <w:b/>
              </w:rPr>
              <w:br/>
              <w:t>16-52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1,08</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r>
      <w:tr w:rsidR="00E55472" w:rsidRPr="00112A1E" w:rsidTr="0031494B">
        <w:trPr>
          <w:cantSplit/>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rPr>
                <w:b/>
              </w:rPr>
            </w:pPr>
            <w:r w:rsidRPr="00112A1E">
              <w:rPr>
                <w:b/>
              </w:rPr>
              <w:t>3.2. То же, свыше 5 до 8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16-2,</w:t>
            </w:r>
            <w:r w:rsidRPr="00112A1E">
              <w:rPr>
                <w:b/>
              </w:rPr>
              <w:br/>
              <w:t>16-3,</w:t>
            </w:r>
            <w:r w:rsidRPr="00112A1E">
              <w:rPr>
                <w:b/>
              </w:rPr>
              <w:br/>
              <w:t>16-5 – 16-10,</w:t>
            </w:r>
            <w:r w:rsidRPr="00112A1E">
              <w:rPr>
                <w:b/>
              </w:rPr>
              <w:br/>
              <w:t>16-12 – 16-19,</w:t>
            </w:r>
            <w:r w:rsidRPr="00112A1E">
              <w:rPr>
                <w:b/>
              </w:rPr>
              <w:br/>
              <w:t>16-31 – 16-36,</w:t>
            </w:r>
            <w:r w:rsidRPr="00112A1E">
              <w:rPr>
                <w:b/>
              </w:rPr>
              <w:br/>
              <w:t>16-40 – 16-45,</w:t>
            </w:r>
            <w:r w:rsidRPr="00112A1E">
              <w:rPr>
                <w:b/>
              </w:rPr>
              <w:br/>
              <w:t>16-46 – 16-49,</w:t>
            </w:r>
            <w:r w:rsidRPr="00112A1E">
              <w:rPr>
                <w:b/>
              </w:rPr>
              <w:br/>
              <w:t>16-52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1,2</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r>
      <w:tr w:rsidR="00E55472" w:rsidRPr="00112A1E" w:rsidTr="0031494B">
        <w:trPr>
          <w:cantSplit/>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rPr>
                <w:b/>
              </w:rPr>
            </w:pPr>
            <w:r w:rsidRPr="00112A1E">
              <w:rPr>
                <w:b/>
              </w:rPr>
              <w:lastRenderedPageBreak/>
              <w:t>3.3. То же, свыше 8 до 10 м</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16-2,</w:t>
            </w:r>
            <w:r w:rsidRPr="00112A1E">
              <w:rPr>
                <w:b/>
              </w:rPr>
              <w:br/>
              <w:t>16-3,</w:t>
            </w:r>
            <w:r w:rsidRPr="00112A1E">
              <w:rPr>
                <w:b/>
              </w:rPr>
              <w:br/>
              <w:t>16-5 – 16-10,</w:t>
            </w:r>
            <w:r w:rsidRPr="00112A1E">
              <w:rPr>
                <w:b/>
              </w:rPr>
              <w:br/>
              <w:t>16-12 – 16-19,</w:t>
            </w:r>
            <w:r w:rsidRPr="00112A1E">
              <w:rPr>
                <w:b/>
              </w:rPr>
              <w:br/>
              <w:t>16-31 – 16-36,</w:t>
            </w:r>
            <w:r w:rsidRPr="00112A1E">
              <w:rPr>
                <w:b/>
              </w:rPr>
              <w:br/>
              <w:t>16-40 – 16-45,</w:t>
            </w:r>
            <w:r w:rsidRPr="00112A1E">
              <w:rPr>
                <w:b/>
              </w:rPr>
              <w:br/>
              <w:t>16-46 – 16-49,</w:t>
            </w:r>
            <w:r w:rsidRPr="00112A1E">
              <w:rPr>
                <w:b/>
              </w:rPr>
              <w:br/>
              <w:t>16-52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1,28</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c>
          <w:tcPr>
            <w:tcW w:w="757" w:type="pct"/>
            <w:tcBorders>
              <w:top w:val="single" w:sz="4" w:space="0" w:color="auto"/>
              <w:left w:val="single" w:sz="4" w:space="0" w:color="auto"/>
              <w:bottom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r>
      <w:tr w:rsidR="00E55472" w:rsidRPr="00687FC4" w:rsidTr="0031494B">
        <w:trPr>
          <w:cantSplit/>
          <w:trHeight w:val="240"/>
        </w:trPr>
        <w:tc>
          <w:tcPr>
            <w:tcW w:w="1818" w:type="pct"/>
            <w:tcBorders>
              <w:top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rPr>
                <w:b/>
              </w:rPr>
            </w:pPr>
            <w:r w:rsidRPr="00112A1E">
              <w:rPr>
                <w:b/>
              </w:rPr>
              <w:t>3.4. То же, свыше 10 м</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16-2,</w:t>
            </w:r>
            <w:r w:rsidRPr="00112A1E">
              <w:rPr>
                <w:b/>
              </w:rPr>
              <w:br/>
              <w:t>16-3,</w:t>
            </w:r>
            <w:r w:rsidRPr="00112A1E">
              <w:rPr>
                <w:b/>
              </w:rPr>
              <w:br/>
              <w:t>16-5 – 16-10,</w:t>
            </w:r>
            <w:r w:rsidRPr="00112A1E">
              <w:rPr>
                <w:b/>
              </w:rPr>
              <w:br/>
              <w:t>16-12 – 16-19,</w:t>
            </w:r>
            <w:r w:rsidRPr="00112A1E">
              <w:rPr>
                <w:b/>
              </w:rPr>
              <w:br/>
              <w:t>16-31 – 16-36,</w:t>
            </w:r>
            <w:r w:rsidRPr="00112A1E">
              <w:rPr>
                <w:b/>
              </w:rPr>
              <w:br/>
              <w:t>16-40 – 16-45,</w:t>
            </w:r>
            <w:r w:rsidRPr="00112A1E">
              <w:rPr>
                <w:b/>
              </w:rPr>
              <w:br/>
              <w:t>16-46 – 16-49,</w:t>
            </w:r>
            <w:r w:rsidRPr="00112A1E">
              <w:rPr>
                <w:b/>
              </w:rPr>
              <w:br/>
              <w:t>16-52</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1,4</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rsidR="00E55472" w:rsidRPr="00112A1E" w:rsidRDefault="00E55472">
            <w:pPr>
              <w:pStyle w:val="table10"/>
              <w:jc w:val="center"/>
              <w:rPr>
                <w:b/>
              </w:rPr>
            </w:pPr>
            <w:r w:rsidRPr="00112A1E">
              <w:rPr>
                <w:b/>
              </w:rPr>
              <w:t>–</w:t>
            </w:r>
          </w:p>
        </w:tc>
        <w:tc>
          <w:tcPr>
            <w:tcW w:w="757" w:type="pct"/>
            <w:tcBorders>
              <w:top w:val="single" w:sz="4" w:space="0" w:color="auto"/>
              <w:left w:val="single" w:sz="4" w:space="0" w:color="auto"/>
            </w:tcBorders>
            <w:tcMar>
              <w:top w:w="0" w:type="dxa"/>
              <w:left w:w="6" w:type="dxa"/>
              <w:bottom w:w="0" w:type="dxa"/>
              <w:right w:w="6" w:type="dxa"/>
            </w:tcMar>
            <w:hideMark/>
          </w:tcPr>
          <w:p w:rsidR="00E55472" w:rsidRPr="00687FC4" w:rsidRDefault="00E55472">
            <w:pPr>
              <w:pStyle w:val="table10"/>
              <w:jc w:val="center"/>
              <w:rPr>
                <w:b/>
              </w:rPr>
            </w:pPr>
            <w:r w:rsidRPr="00112A1E">
              <w:rPr>
                <w:b/>
              </w:rPr>
              <w:t>–</w:t>
            </w:r>
            <w:bookmarkStart w:id="4" w:name="_GoBack"/>
            <w:bookmarkEnd w:id="4"/>
          </w:p>
        </w:tc>
      </w:tr>
    </w:tbl>
    <w:p w:rsidR="00E55472" w:rsidRDefault="00E55472">
      <w:pPr>
        <w:pStyle w:val="newncpi"/>
      </w:pPr>
      <w:r>
        <w:t> </w:t>
      </w:r>
    </w:p>
    <w:sectPr w:rsidR="00E55472" w:rsidSect="00687FC4">
      <w:headerReference w:type="even" r:id="rId7"/>
      <w:headerReference w:type="default" r:id="rId8"/>
      <w:footerReference w:type="even" r:id="rId9"/>
      <w:footerReference w:type="default" r:id="rId10"/>
      <w:pgSz w:w="11906" w:h="16838"/>
      <w:pgMar w:top="1134" w:right="566" w:bottom="709" w:left="141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86" w:rsidRDefault="00F67A86" w:rsidP="00F67A86">
      <w:pPr>
        <w:spacing w:after="0" w:line="240" w:lineRule="auto"/>
      </w:pPr>
      <w:r>
        <w:separator/>
      </w:r>
    </w:p>
  </w:endnote>
  <w:endnote w:type="continuationSeparator" w:id="0">
    <w:p w:rsidR="00F67A86" w:rsidRDefault="00F67A86" w:rsidP="00F6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2681"/>
      <w:docPartObj>
        <w:docPartGallery w:val="Page Numbers (Bottom of Page)"/>
        <w:docPartUnique/>
      </w:docPartObj>
    </w:sdtPr>
    <w:sdtEndPr/>
    <w:sdtContent>
      <w:p w:rsidR="00F67A86" w:rsidRDefault="00F67A86">
        <w:pPr>
          <w:pStyle w:val="a8"/>
        </w:pPr>
        <w:r>
          <w:fldChar w:fldCharType="begin"/>
        </w:r>
        <w:r>
          <w:instrText>PAGE   \* MERGEFORMAT</w:instrText>
        </w:r>
        <w:r>
          <w:fldChar w:fldCharType="separate"/>
        </w:r>
        <w:r w:rsidR="00112A1E">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053028"/>
      <w:docPartObj>
        <w:docPartGallery w:val="Page Numbers (Bottom of Page)"/>
        <w:docPartUnique/>
      </w:docPartObj>
    </w:sdtPr>
    <w:sdtEndPr/>
    <w:sdtContent>
      <w:p w:rsidR="00F67A86" w:rsidRDefault="00F67A86">
        <w:pPr>
          <w:pStyle w:val="a8"/>
          <w:jc w:val="right"/>
        </w:pPr>
        <w:r>
          <w:fldChar w:fldCharType="begin"/>
        </w:r>
        <w:r>
          <w:instrText>PAGE   \* MERGEFORMAT</w:instrText>
        </w:r>
        <w:r>
          <w:fldChar w:fldCharType="separate"/>
        </w:r>
        <w:r w:rsidR="00112A1E">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86" w:rsidRDefault="00F67A86" w:rsidP="00F67A86">
      <w:pPr>
        <w:spacing w:after="0" w:line="240" w:lineRule="auto"/>
      </w:pPr>
      <w:r>
        <w:separator/>
      </w:r>
    </w:p>
  </w:footnote>
  <w:footnote w:type="continuationSeparator" w:id="0">
    <w:p w:rsidR="00F67A86" w:rsidRDefault="00F67A86" w:rsidP="00F6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DCB" w:rsidRDefault="00F67A86" w:rsidP="00F67A86">
    <w:pPr>
      <w:pStyle w:val="a5"/>
    </w:pPr>
    <w:r>
      <w:t>НРР 8.03.116-202</w:t>
    </w:r>
    <w:r w:rsidR="0088521E">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DCB" w:rsidRPr="00BE58EE" w:rsidRDefault="00F67A86" w:rsidP="00F67A86">
    <w:pPr>
      <w:pStyle w:val="a5"/>
      <w:jc w:val="right"/>
      <w:rPr>
        <w:lang w:val="en-US"/>
      </w:rPr>
    </w:pPr>
    <w:r>
      <w:t>НРР 8.03.116-202</w:t>
    </w:r>
    <w:r w:rsidR="00BE58EE">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72"/>
    <w:rsid w:val="00034DCB"/>
    <w:rsid w:val="00112A1E"/>
    <w:rsid w:val="00251E21"/>
    <w:rsid w:val="002D165D"/>
    <w:rsid w:val="0031494B"/>
    <w:rsid w:val="00316A27"/>
    <w:rsid w:val="003240CA"/>
    <w:rsid w:val="004A68B1"/>
    <w:rsid w:val="005E4753"/>
    <w:rsid w:val="00687FC4"/>
    <w:rsid w:val="00843A17"/>
    <w:rsid w:val="0086005C"/>
    <w:rsid w:val="0088521E"/>
    <w:rsid w:val="009C0968"/>
    <w:rsid w:val="009F1B31"/>
    <w:rsid w:val="00A151DC"/>
    <w:rsid w:val="00B346BC"/>
    <w:rsid w:val="00BE58EE"/>
    <w:rsid w:val="00E55472"/>
    <w:rsid w:val="00F420D6"/>
    <w:rsid w:val="00F67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C1A6"/>
  <w15:chartTrackingRefBased/>
  <w15:docId w15:val="{8E2EAD6C-9671-419C-89AB-C9F67192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5472"/>
    <w:rPr>
      <w:color w:val="154C94"/>
      <w:u w:val="single"/>
    </w:rPr>
  </w:style>
  <w:style w:type="character" w:styleId="a4">
    <w:name w:val="FollowedHyperlink"/>
    <w:basedOn w:val="a0"/>
    <w:uiPriority w:val="99"/>
    <w:semiHidden/>
    <w:unhideWhenUsed/>
    <w:rsid w:val="00E55472"/>
    <w:rPr>
      <w:color w:val="154C94"/>
      <w:u w:val="single"/>
    </w:rPr>
  </w:style>
  <w:style w:type="paragraph" w:customStyle="1" w:styleId="msonormal0">
    <w:name w:val="msonormal"/>
    <w:basedOn w:val="a"/>
    <w:rsid w:val="00E5547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E5547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E5547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5547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55472"/>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5547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55472"/>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55472"/>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55472"/>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55472"/>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55472"/>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554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5547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55472"/>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55472"/>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55472"/>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55472"/>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E55472"/>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5547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5547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55472"/>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55472"/>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55472"/>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55472"/>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55472"/>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E55472"/>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55472"/>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554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554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55472"/>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55472"/>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5547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55472"/>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55472"/>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55472"/>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5547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5547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5547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55472"/>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55472"/>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55472"/>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5547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55472"/>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5547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55472"/>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55472"/>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55472"/>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55472"/>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55472"/>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5547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55472"/>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55472"/>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5547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55472"/>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55472"/>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55472"/>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55472"/>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554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55472"/>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55472"/>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55472"/>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5547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55472"/>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55472"/>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55472"/>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55472"/>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55472"/>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554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5547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5547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55472"/>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55472"/>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5547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5547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55472"/>
    <w:rPr>
      <w:rFonts w:ascii="Times New Roman" w:hAnsi="Times New Roman" w:cs="Times New Roman" w:hint="default"/>
      <w:caps/>
    </w:rPr>
  </w:style>
  <w:style w:type="character" w:customStyle="1" w:styleId="promulgator">
    <w:name w:val="promulgator"/>
    <w:basedOn w:val="a0"/>
    <w:rsid w:val="00E55472"/>
    <w:rPr>
      <w:rFonts w:ascii="Times New Roman" w:hAnsi="Times New Roman" w:cs="Times New Roman" w:hint="default"/>
      <w:caps/>
    </w:rPr>
  </w:style>
  <w:style w:type="character" w:customStyle="1" w:styleId="datepr">
    <w:name w:val="datepr"/>
    <w:basedOn w:val="a0"/>
    <w:rsid w:val="00E55472"/>
    <w:rPr>
      <w:rFonts w:ascii="Times New Roman" w:hAnsi="Times New Roman" w:cs="Times New Roman" w:hint="default"/>
    </w:rPr>
  </w:style>
  <w:style w:type="character" w:customStyle="1" w:styleId="datecity">
    <w:name w:val="datecity"/>
    <w:basedOn w:val="a0"/>
    <w:rsid w:val="00E55472"/>
    <w:rPr>
      <w:rFonts w:ascii="Times New Roman" w:hAnsi="Times New Roman" w:cs="Times New Roman" w:hint="default"/>
      <w:sz w:val="24"/>
      <w:szCs w:val="24"/>
    </w:rPr>
  </w:style>
  <w:style w:type="character" w:customStyle="1" w:styleId="datereg">
    <w:name w:val="datereg"/>
    <w:basedOn w:val="a0"/>
    <w:rsid w:val="00E55472"/>
    <w:rPr>
      <w:rFonts w:ascii="Times New Roman" w:hAnsi="Times New Roman" w:cs="Times New Roman" w:hint="default"/>
    </w:rPr>
  </w:style>
  <w:style w:type="character" w:customStyle="1" w:styleId="number">
    <w:name w:val="number"/>
    <w:basedOn w:val="a0"/>
    <w:rsid w:val="00E55472"/>
    <w:rPr>
      <w:rFonts w:ascii="Times New Roman" w:hAnsi="Times New Roman" w:cs="Times New Roman" w:hint="default"/>
    </w:rPr>
  </w:style>
  <w:style w:type="character" w:customStyle="1" w:styleId="bigsimbol">
    <w:name w:val="bigsimbol"/>
    <w:basedOn w:val="a0"/>
    <w:rsid w:val="00E55472"/>
    <w:rPr>
      <w:rFonts w:ascii="Times New Roman" w:hAnsi="Times New Roman" w:cs="Times New Roman" w:hint="default"/>
      <w:caps/>
    </w:rPr>
  </w:style>
  <w:style w:type="character" w:customStyle="1" w:styleId="razr">
    <w:name w:val="razr"/>
    <w:basedOn w:val="a0"/>
    <w:rsid w:val="00E55472"/>
    <w:rPr>
      <w:rFonts w:ascii="Times New Roman" w:hAnsi="Times New Roman" w:cs="Times New Roman" w:hint="default"/>
      <w:spacing w:val="30"/>
    </w:rPr>
  </w:style>
  <w:style w:type="character" w:customStyle="1" w:styleId="onesymbol">
    <w:name w:val="onesymbol"/>
    <w:basedOn w:val="a0"/>
    <w:rsid w:val="00E55472"/>
    <w:rPr>
      <w:rFonts w:ascii="Symbol" w:hAnsi="Symbol" w:hint="default"/>
    </w:rPr>
  </w:style>
  <w:style w:type="character" w:customStyle="1" w:styleId="onewind3">
    <w:name w:val="onewind3"/>
    <w:basedOn w:val="a0"/>
    <w:rsid w:val="00E55472"/>
    <w:rPr>
      <w:rFonts w:ascii="Wingdings 3" w:hAnsi="Wingdings 3" w:hint="default"/>
    </w:rPr>
  </w:style>
  <w:style w:type="character" w:customStyle="1" w:styleId="onewind2">
    <w:name w:val="onewind2"/>
    <w:basedOn w:val="a0"/>
    <w:rsid w:val="00E55472"/>
    <w:rPr>
      <w:rFonts w:ascii="Wingdings 2" w:hAnsi="Wingdings 2" w:hint="default"/>
    </w:rPr>
  </w:style>
  <w:style w:type="character" w:customStyle="1" w:styleId="onewind">
    <w:name w:val="onewind"/>
    <w:basedOn w:val="a0"/>
    <w:rsid w:val="00E55472"/>
    <w:rPr>
      <w:rFonts w:ascii="Wingdings" w:hAnsi="Wingdings" w:hint="default"/>
    </w:rPr>
  </w:style>
  <w:style w:type="character" w:customStyle="1" w:styleId="rednoun">
    <w:name w:val="rednoun"/>
    <w:basedOn w:val="a0"/>
    <w:rsid w:val="00E55472"/>
  </w:style>
  <w:style w:type="character" w:customStyle="1" w:styleId="post">
    <w:name w:val="post"/>
    <w:basedOn w:val="a0"/>
    <w:rsid w:val="00E55472"/>
    <w:rPr>
      <w:rFonts w:ascii="Times New Roman" w:hAnsi="Times New Roman" w:cs="Times New Roman" w:hint="default"/>
      <w:b/>
      <w:bCs/>
      <w:sz w:val="22"/>
      <w:szCs w:val="22"/>
    </w:rPr>
  </w:style>
  <w:style w:type="character" w:customStyle="1" w:styleId="pers">
    <w:name w:val="pers"/>
    <w:basedOn w:val="a0"/>
    <w:rsid w:val="00E55472"/>
    <w:rPr>
      <w:rFonts w:ascii="Times New Roman" w:hAnsi="Times New Roman" w:cs="Times New Roman" w:hint="default"/>
      <w:b/>
      <w:bCs/>
      <w:sz w:val="22"/>
      <w:szCs w:val="22"/>
    </w:rPr>
  </w:style>
  <w:style w:type="character" w:customStyle="1" w:styleId="arabic">
    <w:name w:val="arabic"/>
    <w:basedOn w:val="a0"/>
    <w:rsid w:val="00E55472"/>
    <w:rPr>
      <w:rFonts w:ascii="Times New Roman" w:hAnsi="Times New Roman" w:cs="Times New Roman" w:hint="default"/>
    </w:rPr>
  </w:style>
  <w:style w:type="character" w:customStyle="1" w:styleId="articlec">
    <w:name w:val="articlec"/>
    <w:basedOn w:val="a0"/>
    <w:rsid w:val="00E55472"/>
    <w:rPr>
      <w:rFonts w:ascii="Times New Roman" w:hAnsi="Times New Roman" w:cs="Times New Roman" w:hint="default"/>
      <w:b/>
      <w:bCs/>
    </w:rPr>
  </w:style>
  <w:style w:type="character" w:customStyle="1" w:styleId="roman">
    <w:name w:val="roman"/>
    <w:basedOn w:val="a0"/>
    <w:rsid w:val="00E55472"/>
    <w:rPr>
      <w:rFonts w:ascii="Arial" w:hAnsi="Arial" w:cs="Arial" w:hint="default"/>
    </w:rPr>
  </w:style>
  <w:style w:type="character" w:customStyle="1" w:styleId="snoskiindex">
    <w:name w:val="snoskiindex"/>
    <w:basedOn w:val="a0"/>
    <w:rsid w:val="00E55472"/>
    <w:rPr>
      <w:rFonts w:ascii="Times New Roman" w:hAnsi="Times New Roman" w:cs="Times New Roman" w:hint="default"/>
    </w:rPr>
  </w:style>
  <w:style w:type="table" w:customStyle="1" w:styleId="tablencpi">
    <w:name w:val="tablencpi"/>
    <w:basedOn w:val="a1"/>
    <w:rsid w:val="00E55472"/>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86005C"/>
  </w:style>
  <w:style w:type="paragraph" w:styleId="a5">
    <w:name w:val="header"/>
    <w:basedOn w:val="a"/>
    <w:link w:val="a6"/>
    <w:rsid w:val="008600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86005C"/>
    <w:rPr>
      <w:rFonts w:ascii="Times New Roman" w:eastAsia="Times New Roman" w:hAnsi="Times New Roman" w:cs="Times New Roman"/>
      <w:sz w:val="24"/>
      <w:szCs w:val="24"/>
      <w:lang w:eastAsia="ru-RU"/>
    </w:rPr>
  </w:style>
  <w:style w:type="character" w:styleId="a7">
    <w:name w:val="page number"/>
    <w:rsid w:val="0086005C"/>
    <w:rPr>
      <w:rFonts w:ascii="Times New Roman" w:hAnsi="Times New Roman"/>
      <w:sz w:val="20"/>
    </w:rPr>
  </w:style>
  <w:style w:type="paragraph" w:styleId="a8">
    <w:name w:val="footer"/>
    <w:basedOn w:val="a"/>
    <w:link w:val="a9"/>
    <w:uiPriority w:val="99"/>
    <w:rsid w:val="0086005C"/>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86005C"/>
    <w:rPr>
      <w:rFonts w:ascii="Times New Roman" w:eastAsia="Times New Roman" w:hAnsi="Times New Roman" w:cs="Times New Roman"/>
      <w:sz w:val="20"/>
      <w:szCs w:val="24"/>
      <w:lang w:eastAsia="ru-RU"/>
    </w:rPr>
  </w:style>
  <w:style w:type="table" w:styleId="aa">
    <w:name w:val="Table Grid"/>
    <w:basedOn w:val="a1"/>
    <w:uiPriority w:val="39"/>
    <w:rsid w:val="0088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69430">
      <w:bodyDiv w:val="1"/>
      <w:marLeft w:val="0"/>
      <w:marRight w:val="0"/>
      <w:marTop w:val="0"/>
      <w:marBottom w:val="0"/>
      <w:divBdr>
        <w:top w:val="none" w:sz="0" w:space="0" w:color="auto"/>
        <w:left w:val="none" w:sz="0" w:space="0" w:color="auto"/>
        <w:bottom w:val="none" w:sz="0" w:space="0" w:color="auto"/>
        <w:right w:val="none" w:sz="0" w:space="0" w:color="auto"/>
      </w:divBdr>
    </w:div>
    <w:div w:id="1218315893">
      <w:bodyDiv w:val="1"/>
      <w:marLeft w:val="0"/>
      <w:marRight w:val="0"/>
      <w:marTop w:val="0"/>
      <w:marBottom w:val="0"/>
      <w:divBdr>
        <w:top w:val="none" w:sz="0" w:space="0" w:color="auto"/>
        <w:left w:val="none" w:sz="0" w:space="0" w:color="auto"/>
        <w:bottom w:val="none" w:sz="0" w:space="0" w:color="auto"/>
        <w:right w:val="none" w:sz="0" w:space="0" w:color="auto"/>
      </w:divBdr>
    </w:div>
    <w:div w:id="16350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17</cp:revision>
  <dcterms:created xsi:type="dcterms:W3CDTF">2024-02-13T09:51:00Z</dcterms:created>
  <dcterms:modified xsi:type="dcterms:W3CDTF">2026-02-11T12:54:00Z</dcterms:modified>
</cp:coreProperties>
</file>