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D4E" w:rsidRPr="00F358A2" w:rsidRDefault="00052D4E">
      <w:pPr>
        <w:pStyle w:val="nonumheader"/>
        <w:rPr>
          <w:sz w:val="32"/>
          <w:szCs w:val="32"/>
        </w:rPr>
      </w:pPr>
      <w:r w:rsidRPr="00F358A2">
        <w:rPr>
          <w:sz w:val="28"/>
          <w:szCs w:val="28"/>
        </w:rPr>
        <w:t>НОРМАТИВЫ РАСХОДА РЕСУРСОВ</w:t>
      </w:r>
      <w:r w:rsidRPr="00F358A2">
        <w:rPr>
          <w:sz w:val="28"/>
          <w:szCs w:val="28"/>
        </w:rPr>
        <w:br/>
        <w:t>В НАТУРАЛЬНОМ ВЫРАЖЕНИИ</w:t>
      </w:r>
      <w:r w:rsidRPr="00F358A2">
        <w:rPr>
          <w:sz w:val="28"/>
          <w:szCs w:val="28"/>
        </w:rPr>
        <w:br/>
        <w:t>на строительные конструкции и работы</w:t>
      </w:r>
      <w:r w:rsidRPr="00F358A2">
        <w:rPr>
          <w:sz w:val="28"/>
          <w:szCs w:val="28"/>
        </w:rPr>
        <w:br/>
        <w:t>Сборник 7</w:t>
      </w:r>
      <w:r w:rsidRPr="00F358A2">
        <w:rPr>
          <w:sz w:val="28"/>
          <w:szCs w:val="28"/>
        </w:rPr>
        <w:br/>
      </w:r>
      <w:r w:rsidRPr="00F358A2">
        <w:rPr>
          <w:sz w:val="32"/>
          <w:szCs w:val="32"/>
        </w:rPr>
        <w:t>Бетонные и железобетонные конструкции сборные</w:t>
      </w:r>
    </w:p>
    <w:p w:rsidR="00052D4E" w:rsidRDefault="00052D4E">
      <w:pPr>
        <w:pStyle w:val="nonumheader"/>
      </w:pPr>
      <w:r w:rsidRPr="00F358A2">
        <w:rPr>
          <w:sz w:val="28"/>
          <w:szCs w:val="28"/>
        </w:rPr>
        <w:t>НАРМАТЫВЫ РАСХОДА РЭСУРСАЎ</w:t>
      </w:r>
      <w:r w:rsidRPr="00F358A2">
        <w:rPr>
          <w:sz w:val="28"/>
          <w:szCs w:val="28"/>
        </w:rPr>
        <w:br/>
        <w:t>У НАТУРАЛЬНЫМ ВЫРАЖЭННІ</w:t>
      </w:r>
      <w:r w:rsidRPr="00F358A2">
        <w:rPr>
          <w:sz w:val="28"/>
          <w:szCs w:val="28"/>
        </w:rPr>
        <w:br/>
        <w:t xml:space="preserve">на </w:t>
      </w:r>
      <w:proofErr w:type="spellStart"/>
      <w:r w:rsidRPr="00F358A2">
        <w:rPr>
          <w:sz w:val="28"/>
          <w:szCs w:val="28"/>
        </w:rPr>
        <w:t>будаўнічыя</w:t>
      </w:r>
      <w:proofErr w:type="spellEnd"/>
      <w:r w:rsidRPr="00F358A2">
        <w:rPr>
          <w:sz w:val="28"/>
          <w:szCs w:val="28"/>
        </w:rPr>
        <w:t xml:space="preserve"> </w:t>
      </w:r>
      <w:proofErr w:type="spellStart"/>
      <w:r w:rsidRPr="00F358A2">
        <w:rPr>
          <w:sz w:val="28"/>
          <w:szCs w:val="28"/>
        </w:rPr>
        <w:t>канструкцыі</w:t>
      </w:r>
      <w:proofErr w:type="spellEnd"/>
      <w:r w:rsidRPr="00F358A2">
        <w:rPr>
          <w:sz w:val="28"/>
          <w:szCs w:val="28"/>
        </w:rPr>
        <w:t xml:space="preserve"> і работы</w:t>
      </w:r>
      <w:r w:rsidRPr="00F358A2">
        <w:rPr>
          <w:sz w:val="28"/>
          <w:szCs w:val="28"/>
        </w:rPr>
        <w:br/>
      </w:r>
      <w:proofErr w:type="spellStart"/>
      <w:r w:rsidRPr="00F358A2">
        <w:rPr>
          <w:sz w:val="28"/>
          <w:szCs w:val="28"/>
        </w:rPr>
        <w:t>Зборнік</w:t>
      </w:r>
      <w:proofErr w:type="spellEnd"/>
      <w:r w:rsidRPr="00F358A2">
        <w:rPr>
          <w:sz w:val="28"/>
          <w:szCs w:val="28"/>
        </w:rPr>
        <w:t xml:space="preserve"> 7</w:t>
      </w:r>
      <w:r w:rsidRPr="00F358A2">
        <w:rPr>
          <w:sz w:val="28"/>
          <w:szCs w:val="28"/>
        </w:rPr>
        <w:br/>
      </w:r>
      <w:proofErr w:type="spellStart"/>
      <w:r w:rsidRPr="00F358A2">
        <w:rPr>
          <w:sz w:val="32"/>
          <w:szCs w:val="32"/>
        </w:rPr>
        <w:t>Бетонныя</w:t>
      </w:r>
      <w:proofErr w:type="spellEnd"/>
      <w:r w:rsidRPr="00F358A2">
        <w:rPr>
          <w:sz w:val="32"/>
          <w:szCs w:val="32"/>
        </w:rPr>
        <w:t xml:space="preserve"> і </w:t>
      </w:r>
      <w:proofErr w:type="spellStart"/>
      <w:r w:rsidRPr="00F358A2">
        <w:rPr>
          <w:sz w:val="32"/>
          <w:szCs w:val="32"/>
        </w:rPr>
        <w:t>жалезабетонныя</w:t>
      </w:r>
      <w:proofErr w:type="spellEnd"/>
      <w:r w:rsidRPr="00F358A2">
        <w:rPr>
          <w:sz w:val="32"/>
          <w:szCs w:val="32"/>
        </w:rPr>
        <w:t xml:space="preserve"> </w:t>
      </w:r>
      <w:proofErr w:type="spellStart"/>
      <w:r w:rsidRPr="00F358A2">
        <w:rPr>
          <w:sz w:val="32"/>
          <w:szCs w:val="32"/>
        </w:rPr>
        <w:t>канструкцыі</w:t>
      </w:r>
      <w:proofErr w:type="spellEnd"/>
      <w:r w:rsidRPr="00F358A2">
        <w:rPr>
          <w:sz w:val="32"/>
          <w:szCs w:val="32"/>
        </w:rPr>
        <w:t xml:space="preserve"> </w:t>
      </w:r>
      <w:proofErr w:type="spellStart"/>
      <w:r w:rsidRPr="00F358A2">
        <w:rPr>
          <w:sz w:val="32"/>
          <w:szCs w:val="32"/>
        </w:rPr>
        <w:t>зборныя</w:t>
      </w:r>
      <w:proofErr w:type="spellEnd"/>
    </w:p>
    <w:p w:rsidR="00052D4E" w:rsidRPr="00F358A2" w:rsidRDefault="00052D4E">
      <w:pPr>
        <w:pStyle w:val="nonumheader"/>
        <w:rPr>
          <w:sz w:val="28"/>
          <w:szCs w:val="28"/>
          <w:lang w:val="en-US"/>
        </w:rPr>
      </w:pPr>
      <w:r w:rsidRPr="00F358A2">
        <w:rPr>
          <w:sz w:val="28"/>
          <w:szCs w:val="28"/>
          <w:lang w:val="en-US"/>
        </w:rPr>
        <w:t>SPECIFICATIONS OF THE EXPENSE OF RESOURCES</w:t>
      </w:r>
      <w:r w:rsidRPr="00F358A2">
        <w:rPr>
          <w:sz w:val="28"/>
          <w:szCs w:val="28"/>
          <w:lang w:val="en-US"/>
        </w:rPr>
        <w:br/>
        <w:t>I№ NATURAL EXPRESSION</w:t>
      </w:r>
      <w:r w:rsidRPr="00F358A2">
        <w:rPr>
          <w:sz w:val="28"/>
          <w:szCs w:val="28"/>
          <w:lang w:val="en-US"/>
        </w:rPr>
        <w:br/>
        <w:t>for building constructions and works</w:t>
      </w:r>
      <w:r w:rsidRPr="00F358A2">
        <w:rPr>
          <w:sz w:val="28"/>
          <w:szCs w:val="28"/>
          <w:lang w:val="en-US"/>
        </w:rPr>
        <w:br/>
        <w:t>Miscellany 7</w:t>
      </w:r>
      <w:r w:rsidRPr="00F358A2">
        <w:rPr>
          <w:sz w:val="28"/>
          <w:szCs w:val="28"/>
          <w:lang w:val="en-US"/>
        </w:rPr>
        <w:br/>
        <w:t>Assembly concrete and reinforced concrete constructions</w:t>
      </w:r>
    </w:p>
    <w:p w:rsidR="00052D4E" w:rsidRDefault="00052D4E">
      <w:pPr>
        <w:pStyle w:val="onestring"/>
      </w:pPr>
      <w:r>
        <w:rPr>
          <w:b/>
          <w:bCs/>
        </w:rPr>
        <w:t>Дата введения 202</w:t>
      </w:r>
      <w:r w:rsidR="00792888">
        <w:rPr>
          <w:b/>
          <w:bCs/>
        </w:rPr>
        <w:t>6</w:t>
      </w:r>
      <w:r>
        <w:rPr>
          <w:b/>
          <w:bCs/>
        </w:rPr>
        <w:t>-05-01</w:t>
      </w:r>
    </w:p>
    <w:p w:rsidR="00F358A2" w:rsidRDefault="00F358A2">
      <w:pPr>
        <w:pStyle w:val="nonumheader"/>
        <w:rPr>
          <w:sz w:val="28"/>
          <w:szCs w:val="28"/>
        </w:rPr>
      </w:pPr>
    </w:p>
    <w:p w:rsidR="00052D4E" w:rsidRPr="00F358A2" w:rsidRDefault="00052D4E">
      <w:pPr>
        <w:pStyle w:val="nonumheader"/>
        <w:rPr>
          <w:sz w:val="28"/>
          <w:szCs w:val="28"/>
        </w:rPr>
      </w:pPr>
      <w:r w:rsidRPr="00F358A2">
        <w:rPr>
          <w:sz w:val="28"/>
          <w:szCs w:val="28"/>
        </w:rPr>
        <w:t>ТЕХНИЧЕСКАЯ ЧАСТЬ</w:t>
      </w:r>
    </w:p>
    <w:p w:rsidR="00052D4E" w:rsidRPr="00F358A2" w:rsidRDefault="00052D4E">
      <w:pPr>
        <w:pStyle w:val="numheader"/>
        <w:rPr>
          <w:sz w:val="28"/>
          <w:szCs w:val="28"/>
        </w:rPr>
      </w:pPr>
      <w:r w:rsidRPr="00F358A2">
        <w:rPr>
          <w:sz w:val="28"/>
          <w:szCs w:val="28"/>
        </w:rPr>
        <w:t>1. ОБЩИЕ УКАЗАНИЯ</w:t>
      </w:r>
    </w:p>
    <w:p w:rsidR="00052D4E" w:rsidRPr="00F358A2" w:rsidRDefault="00052D4E">
      <w:pPr>
        <w:pStyle w:val="underpoint"/>
        <w:rPr>
          <w:b/>
        </w:rPr>
      </w:pPr>
      <w:r w:rsidRPr="00F358A2">
        <w:rPr>
          <w:b/>
        </w:rPr>
        <w:t>1.1. Нормативы расхода ресурсов в натуральном выражении (далее – нормативы или нормы)* включают нормы расхода материалов, изделий и конструкций (далее – нормы расхода материалов), нормы времени эксплуатации машин и механизмов (далее – нормы эксплуатации машин) в машино-часах, нормы затрат труда рабочих и машинистов (далее – затраты труда) в человеко-часах.</w:t>
      </w:r>
    </w:p>
    <w:p w:rsidR="00052D4E" w:rsidRPr="00F358A2" w:rsidRDefault="00052D4E">
      <w:pPr>
        <w:pStyle w:val="newncpi"/>
        <w:rPr>
          <w:b/>
        </w:rPr>
      </w:pPr>
      <w:r w:rsidRPr="00F358A2">
        <w:rPr>
          <w:b/>
        </w:rPr>
        <w:t>В настоящем Сборнике приведены нормативы на работы по установке сборных бетонных и железобетонных конструкций.</w:t>
      </w:r>
    </w:p>
    <w:p w:rsidR="00052D4E" w:rsidRPr="00F358A2" w:rsidRDefault="00052D4E">
      <w:pPr>
        <w:pStyle w:val="underpoint"/>
        <w:rPr>
          <w:b/>
        </w:rPr>
      </w:pPr>
      <w:r w:rsidRPr="00F358A2">
        <w:rPr>
          <w:b/>
        </w:rPr>
        <w:t>1.2. При отсутствии в конкретном разделе норматива на выполнение необходимой работы, расходы на эти цели определяются по нормативам из других разделов настоящего Сборника.</w:t>
      </w:r>
    </w:p>
    <w:p w:rsidR="00052D4E" w:rsidRPr="00F358A2" w:rsidRDefault="00052D4E">
      <w:pPr>
        <w:pStyle w:val="newncpi"/>
        <w:rPr>
          <w:b/>
        </w:rPr>
      </w:pPr>
      <w:r w:rsidRPr="00F358A2">
        <w:rPr>
          <w:b/>
        </w:rPr>
        <w:t>Так, например, работы по установке колонн, балок и перекрытий в сооружениях водопровода и канализации, блоков и плит ленточных фундаментов в жилых и общественных зданиях следует нормировать по таблицам раздела 01, по установке блоков стен подвалов, многопустотных плит, перемычек массой до 0,3 т и плит типа ТТ – по таблицам раздела 05 и т.д.</w:t>
      </w:r>
    </w:p>
    <w:p w:rsidR="00052D4E" w:rsidRDefault="00052D4E">
      <w:pPr>
        <w:pStyle w:val="underpoint"/>
        <w:rPr>
          <w:b/>
        </w:rPr>
      </w:pPr>
      <w:r w:rsidRPr="00F358A2">
        <w:rPr>
          <w:b/>
        </w:rPr>
        <w:t>1.3. В нормах учтено выполнение полного комплекса основных работ по установке конструкций, включающего: разгрузку, необходимую сортировку и транспортировку материалов и изделий от приобъектного склада в зону действия монтажного крана, подъем, установку, выверку и закрепление конструкций.</w:t>
      </w:r>
    </w:p>
    <w:p w:rsidR="00000FCA" w:rsidRDefault="00000FCA" w:rsidP="00000FCA">
      <w:pPr>
        <w:pStyle w:val="snoskiline"/>
      </w:pPr>
      <w:r>
        <w:t>______________________________</w:t>
      </w:r>
    </w:p>
    <w:p w:rsidR="00000FCA" w:rsidRDefault="00000FCA" w:rsidP="00000FCA">
      <w:pPr>
        <w:pStyle w:val="snoski"/>
        <w:spacing w:after="240"/>
      </w:pPr>
      <w:r>
        <w:t>* По тексту настоящего Сборника при ссылке на конкретный норматив применяется его полная нумерация (например, «Е7-1-1») или с указанием таблицы норматива – его сокращение (например, «Таблица 7-1 (норма 1)»).</w:t>
      </w:r>
    </w:p>
    <w:p w:rsidR="009A42CA" w:rsidRPr="00F358A2" w:rsidRDefault="009A42CA">
      <w:pPr>
        <w:pStyle w:val="newncpi"/>
        <w:rPr>
          <w:b/>
        </w:rPr>
      </w:pPr>
      <w:r w:rsidRPr="00F358A2">
        <w:rPr>
          <w:b/>
        </w:rPr>
        <w:lastRenderedPageBreak/>
        <w:t>В нормах также учтены сопутствующие работы по: установке, перестановке и уборке (снятию) подмостей, лестниц, кондукторов и монтажных приспособлений; транспортированию бетона, раствора и др. материалов к месту укладки; устройству постели из раствора или бетона; срезке и загибанию петель; очистке устанавливаемых конструкций, мест установки и сопряжений; устройству ограждений и других средств защиты, предусматриваемых правилами техники безопасности производства работ, и других вспомогательных работ.</w:t>
      </w:r>
    </w:p>
    <w:p w:rsidR="00052D4E" w:rsidRPr="00F358A2" w:rsidRDefault="00052D4E">
      <w:pPr>
        <w:pStyle w:val="newncpi"/>
        <w:rPr>
          <w:b/>
        </w:rPr>
      </w:pPr>
      <w:r w:rsidRPr="00F358A2">
        <w:rPr>
          <w:b/>
        </w:rPr>
        <w:t>Перечисленные работы, как повторяющиеся, в большинстве нормативов в «составе работ» к таблицам норм не приведены.</w:t>
      </w:r>
    </w:p>
    <w:p w:rsidR="00052D4E" w:rsidRPr="00F358A2" w:rsidRDefault="00052D4E">
      <w:pPr>
        <w:pStyle w:val="newncpi"/>
        <w:rPr>
          <w:b/>
        </w:rPr>
      </w:pPr>
      <w:r w:rsidRPr="00F358A2">
        <w:rPr>
          <w:b/>
        </w:rPr>
        <w:t>Если в составе работ перечисляются:</w:t>
      </w:r>
    </w:p>
    <w:p w:rsidR="00052D4E" w:rsidRPr="00F358A2" w:rsidRDefault="00052D4E">
      <w:pPr>
        <w:pStyle w:val="newncpi"/>
        <w:rPr>
          <w:b/>
        </w:rPr>
      </w:pPr>
      <w:r w:rsidRPr="00F358A2">
        <w:rPr>
          <w:b/>
        </w:rPr>
        <w:t xml:space="preserve">бетонирование, </w:t>
      </w:r>
      <w:proofErr w:type="spellStart"/>
      <w:r w:rsidRPr="00F358A2">
        <w:rPr>
          <w:b/>
        </w:rPr>
        <w:t>замоноличивание</w:t>
      </w:r>
      <w:proofErr w:type="spellEnd"/>
      <w:r w:rsidRPr="00F358A2">
        <w:rPr>
          <w:b/>
        </w:rPr>
        <w:t xml:space="preserve"> или заливка швов, то следует иметь в виду, что в этих нормах учтены работы по уплотнению бетона, укрытию его и поливке водой;</w:t>
      </w:r>
    </w:p>
    <w:p w:rsidR="00052D4E" w:rsidRPr="00F358A2" w:rsidRDefault="00052D4E">
      <w:pPr>
        <w:pStyle w:val="newncpi"/>
        <w:rPr>
          <w:b/>
        </w:rPr>
      </w:pPr>
      <w:r w:rsidRPr="00F358A2">
        <w:rPr>
          <w:b/>
        </w:rPr>
        <w:t>устройство опалубки, то следует иметь в виду, что в нормах учтены работы по смазке и разборке ее, а также по выравниванию и затирке (при необходимости) открытых поверхностей после снятия опалубки.</w:t>
      </w:r>
    </w:p>
    <w:p w:rsidR="00052D4E" w:rsidRPr="00F358A2" w:rsidRDefault="00052D4E">
      <w:pPr>
        <w:pStyle w:val="underpoint"/>
        <w:rPr>
          <w:b/>
        </w:rPr>
      </w:pPr>
      <w:r w:rsidRPr="00F358A2">
        <w:rPr>
          <w:b/>
        </w:rPr>
        <w:t>1.4. Контроль качества сварных соединений в нормах не учтен и в случаях, когда это предусмотрено проектной документацией объекта строительства, его следует определять дополнительно по нормативам Сборника 9 «Металлические конструкции».</w:t>
      </w:r>
    </w:p>
    <w:p w:rsidR="00052D4E" w:rsidRPr="00F358A2" w:rsidRDefault="00052D4E">
      <w:pPr>
        <w:pStyle w:val="underpoint"/>
        <w:rPr>
          <w:b/>
        </w:rPr>
      </w:pPr>
      <w:r w:rsidRPr="00F358A2">
        <w:rPr>
          <w:b/>
        </w:rPr>
        <w:t>1.5. Нормами не учтено выполнение работ по установке ограждений по периметру смонтированного каркаса здания и натяжению страховочных канатов.</w:t>
      </w:r>
    </w:p>
    <w:p w:rsidR="00052D4E" w:rsidRPr="00F358A2" w:rsidRDefault="00052D4E">
      <w:pPr>
        <w:pStyle w:val="underpoint"/>
        <w:rPr>
          <w:b/>
        </w:rPr>
      </w:pPr>
      <w:r w:rsidRPr="00F358A2">
        <w:rPr>
          <w:b/>
        </w:rPr>
        <w:t>1.6. В нормах предусмотрена установка конструкций в:</w:t>
      </w:r>
    </w:p>
    <w:p w:rsidR="00052D4E" w:rsidRPr="00F358A2" w:rsidRDefault="00052D4E">
      <w:pPr>
        <w:pStyle w:val="newncpi"/>
        <w:rPr>
          <w:b/>
        </w:rPr>
      </w:pPr>
      <w:r w:rsidRPr="00F358A2">
        <w:rPr>
          <w:b/>
        </w:rPr>
        <w:t>одноэтажных производственных зданиях и сооружениях высотой до 35 м,</w:t>
      </w:r>
    </w:p>
    <w:p w:rsidR="00052D4E" w:rsidRPr="00F358A2" w:rsidRDefault="00052D4E">
      <w:pPr>
        <w:pStyle w:val="newncpi"/>
        <w:rPr>
          <w:b/>
        </w:rPr>
      </w:pPr>
      <w:r w:rsidRPr="00F358A2">
        <w:rPr>
          <w:b/>
        </w:rPr>
        <w:t>многоэтажных – до 57 м;</w:t>
      </w:r>
    </w:p>
    <w:p w:rsidR="00052D4E" w:rsidRPr="00F358A2" w:rsidRDefault="00052D4E">
      <w:pPr>
        <w:pStyle w:val="newncpi"/>
        <w:rPr>
          <w:b/>
        </w:rPr>
      </w:pPr>
      <w:r w:rsidRPr="00F358A2">
        <w:rPr>
          <w:b/>
        </w:rPr>
        <w:t>главных корпусах тепловых электростанций – до 85 м;</w:t>
      </w:r>
    </w:p>
    <w:p w:rsidR="00052D4E" w:rsidRPr="00F358A2" w:rsidRDefault="00052D4E">
      <w:pPr>
        <w:pStyle w:val="newncpi"/>
        <w:rPr>
          <w:b/>
        </w:rPr>
      </w:pPr>
      <w:r w:rsidRPr="00F358A2">
        <w:rPr>
          <w:b/>
        </w:rPr>
        <w:t>зданиях жилого и общественного назначения, а также административно-бытовых зданиях промышленных предприятий – до 40 метров.</w:t>
      </w:r>
    </w:p>
    <w:p w:rsidR="00052D4E" w:rsidRPr="00F358A2" w:rsidRDefault="00052D4E">
      <w:pPr>
        <w:pStyle w:val="newncpi"/>
        <w:rPr>
          <w:b/>
        </w:rPr>
      </w:pPr>
      <w:r w:rsidRPr="00F358A2">
        <w:rPr>
          <w:b/>
        </w:rPr>
        <w:t>Для указанных объектов при большей высоте следует применять коэффициенты, приведенные в разделе 3 Технической части.</w:t>
      </w:r>
    </w:p>
    <w:p w:rsidR="00052D4E" w:rsidRPr="00F358A2" w:rsidRDefault="00052D4E">
      <w:pPr>
        <w:pStyle w:val="underpoint"/>
        <w:rPr>
          <w:b/>
        </w:rPr>
      </w:pPr>
      <w:r w:rsidRPr="00F358A2">
        <w:rPr>
          <w:b/>
        </w:rPr>
        <w:t xml:space="preserve">1.7. Приведенные в нормативах классы бетонов и марки растворов, предназначенные для </w:t>
      </w:r>
      <w:proofErr w:type="spellStart"/>
      <w:r w:rsidRPr="00F358A2">
        <w:rPr>
          <w:b/>
        </w:rPr>
        <w:t>замоноличивания</w:t>
      </w:r>
      <w:proofErr w:type="spellEnd"/>
      <w:r w:rsidRPr="00F358A2">
        <w:rPr>
          <w:b/>
        </w:rPr>
        <w:t xml:space="preserve"> конструкций и заделки стыков, подлежат корректировке в соответствии с проектной документацией объекта строительства.</w:t>
      </w:r>
    </w:p>
    <w:p w:rsidR="00052D4E" w:rsidRPr="00F358A2" w:rsidRDefault="00052D4E">
      <w:pPr>
        <w:pStyle w:val="underpoint"/>
        <w:rPr>
          <w:b/>
        </w:rPr>
      </w:pPr>
      <w:r w:rsidRPr="00F358A2">
        <w:rPr>
          <w:b/>
        </w:rPr>
        <w:t>1.8. В нормах с применением сварки арматуры ванным способом предусмотрено выполнение работ с использованием инвентарных форм или стальных скоб-подкладок (накладок).</w:t>
      </w:r>
    </w:p>
    <w:p w:rsidR="00052D4E" w:rsidRPr="00F358A2" w:rsidRDefault="00052D4E">
      <w:pPr>
        <w:pStyle w:val="underpoint"/>
        <w:rPr>
          <w:b/>
        </w:rPr>
      </w:pPr>
      <w:r w:rsidRPr="00F358A2">
        <w:rPr>
          <w:b/>
        </w:rPr>
        <w:t>1.9. В нормативах на установку стеновых панелей производственных зданий не учтен расход материалов на заделку горизонтальных швов.</w:t>
      </w:r>
    </w:p>
    <w:p w:rsidR="00052D4E" w:rsidRPr="00F358A2" w:rsidRDefault="00052D4E">
      <w:pPr>
        <w:pStyle w:val="newncpi"/>
        <w:rPr>
          <w:b/>
        </w:rPr>
      </w:pPr>
      <w:r w:rsidRPr="00F358A2">
        <w:rPr>
          <w:b/>
        </w:rPr>
        <w:t>При заделке горизонтальных швов раствором следует добавлять на 100 м шва: цементного раствора марки 50 – 0,4 м</w:t>
      </w:r>
      <w:r w:rsidRPr="00F358A2">
        <w:rPr>
          <w:b/>
          <w:vertAlign w:val="superscript"/>
        </w:rPr>
        <w:t>3</w:t>
      </w:r>
      <w:r w:rsidRPr="00F358A2">
        <w:rPr>
          <w:b/>
        </w:rPr>
        <w:t>.</w:t>
      </w:r>
    </w:p>
    <w:p w:rsidR="00052D4E" w:rsidRPr="00F358A2" w:rsidRDefault="00052D4E">
      <w:pPr>
        <w:pStyle w:val="newncpi"/>
        <w:rPr>
          <w:b/>
        </w:rPr>
      </w:pPr>
      <w:r w:rsidRPr="00F358A2">
        <w:rPr>
          <w:b/>
        </w:rPr>
        <w:t>При заделке горизонтальных швов уплотнительными прокладками добавлять на 100 м шва: уплотнительных прокладок толщиной 40 мм – 105 м.</w:t>
      </w:r>
    </w:p>
    <w:p w:rsidR="00052D4E" w:rsidRPr="00F358A2" w:rsidRDefault="00052D4E">
      <w:pPr>
        <w:pStyle w:val="underpoint"/>
        <w:rPr>
          <w:b/>
        </w:rPr>
      </w:pPr>
      <w:r w:rsidRPr="00F358A2">
        <w:rPr>
          <w:b/>
        </w:rPr>
        <w:t>1.10. Нормами на выполнение работ по устройству емкостных сооружений водопровода и канализации следует пользоваться и для определения расходов на выполнение работ по устройству (при аналогичных технических требованиях и условиях) сооружений для нефти, мазута и т.д.</w:t>
      </w:r>
    </w:p>
    <w:p w:rsidR="00052D4E" w:rsidRPr="00F358A2" w:rsidRDefault="00052D4E">
      <w:pPr>
        <w:pStyle w:val="underpoint"/>
        <w:rPr>
          <w:b/>
        </w:rPr>
      </w:pPr>
      <w:r w:rsidRPr="00F358A2">
        <w:rPr>
          <w:b/>
        </w:rPr>
        <w:t>1.11. Расходы на выполнение работ по расшивке швов плит перекрытий и покрытий снизу (за исключением работ, указанных в разделе 05), швов панелей перегородок и внутренних швов панелей наружных стен (если эти работы предусмотрены проектной документацией объекта строительства) следует определять по нормам Сборника 15 «Отделочные работы».</w:t>
      </w:r>
    </w:p>
    <w:p w:rsidR="00052D4E" w:rsidRPr="00F358A2" w:rsidRDefault="00052D4E">
      <w:pPr>
        <w:pStyle w:val="underpoint"/>
        <w:rPr>
          <w:b/>
        </w:rPr>
      </w:pPr>
      <w:r w:rsidRPr="00F358A2">
        <w:rPr>
          <w:b/>
        </w:rPr>
        <w:t>1.12. </w:t>
      </w:r>
      <w:r w:rsidR="00D82619" w:rsidRPr="00D82619">
        <w:rPr>
          <w:b/>
        </w:rPr>
        <w:t xml:space="preserve">Расходы по использованию грузопассажирских подъемников, установка которых на строительстве производственных, жилых и общественных зданий и главных корпусов тепловых электростанций высотой 25 м и более предусмотрена в проектах </w:t>
      </w:r>
      <w:r w:rsidR="00D82619" w:rsidRPr="00D82619">
        <w:rPr>
          <w:b/>
        </w:rPr>
        <w:lastRenderedPageBreak/>
        <w:t>организации строительства и проектах производства работ, следует определять по нормам таблицы 7-58.</w:t>
      </w:r>
    </w:p>
    <w:p w:rsidR="00052D4E" w:rsidRPr="00F358A2" w:rsidRDefault="00052D4E">
      <w:pPr>
        <w:pStyle w:val="newncpi"/>
        <w:rPr>
          <w:b/>
        </w:rPr>
      </w:pPr>
      <w:r w:rsidRPr="00F358A2">
        <w:rPr>
          <w:b/>
        </w:rPr>
        <w:t>Для случаев, когда в одноэтажных производственных зданиях проектной документацией объекта строительства предусматриваются встроенные помещения с отметкой верха междуэтажного перекрытия более 20 м, норму времени эксплуатации грузопассажирских подъемников следует определять как для многоэтажных производственных зданий, исходя из площади застройки встроенных помещений.</w:t>
      </w:r>
    </w:p>
    <w:p w:rsidR="00052D4E" w:rsidRPr="00F358A2" w:rsidRDefault="00052D4E">
      <w:pPr>
        <w:pStyle w:val="newncpi"/>
        <w:rPr>
          <w:b/>
        </w:rPr>
      </w:pPr>
      <w:r w:rsidRPr="00F358A2">
        <w:rPr>
          <w:b/>
        </w:rPr>
        <w:t>Для случаев, когда проектной документацией объекта строительства предусматриваются галереи на высоте 25 м и более, нормы времени эксплуатации грузопассажирских подъемников следует определять как для одноэтажных производственных зданий, исходя из площади горизонтальной проекции галерей.</w:t>
      </w:r>
    </w:p>
    <w:p w:rsidR="00052D4E" w:rsidRPr="00F358A2" w:rsidRDefault="00052D4E">
      <w:pPr>
        <w:pStyle w:val="underpoint"/>
        <w:rPr>
          <w:b/>
        </w:rPr>
      </w:pPr>
      <w:r w:rsidRPr="00F358A2">
        <w:rPr>
          <w:b/>
        </w:rPr>
        <w:t>1.13. Расходы на выполнение работ по устройству бетонных оснований для всех необходимых случаев следует определять по нормативам таблицы 6-1 Сборника 6 «Бетонные и железобетонные конструкции монолитные».</w:t>
      </w:r>
    </w:p>
    <w:p w:rsidR="00052D4E" w:rsidRPr="00F358A2" w:rsidRDefault="00052D4E">
      <w:pPr>
        <w:pStyle w:val="underpoint"/>
        <w:rPr>
          <w:b/>
        </w:rPr>
      </w:pPr>
      <w:r w:rsidRPr="00F358A2">
        <w:rPr>
          <w:b/>
        </w:rPr>
        <w:t>1.14. В таблице 7-6 приведены нормы расхода бетона для случаев установки колонн в общем стакане для обеих ветвей. В случаях, когда проектной документацией объекта строительства предусматривается устройство раздельных стаканов под каждую ветвь, расход бетона следует принимать по проектным данным с коэффициентом 1,04. Расход ресурсов на выполнение работ по установке колонн двутаврового сечения следует определять по нормам таблицы 7-6, а расход бетона – по проектным данным с коэффициентом 1,02.</w:t>
      </w:r>
    </w:p>
    <w:p w:rsidR="00052D4E" w:rsidRPr="00F358A2" w:rsidRDefault="00052D4E">
      <w:pPr>
        <w:pStyle w:val="underpoint"/>
        <w:rPr>
          <w:b/>
        </w:rPr>
      </w:pPr>
      <w:r w:rsidRPr="00F358A2">
        <w:rPr>
          <w:b/>
        </w:rPr>
        <w:t>1.15. Расходы на выполнение работ по установке консолей для монтажа обвязочных балок и стеновых панелей производственных зданий следует определять по таблице 7-20 (нормы 3 и 4).</w:t>
      </w:r>
    </w:p>
    <w:p w:rsidR="00052D4E" w:rsidRPr="00F358A2" w:rsidRDefault="00052D4E">
      <w:pPr>
        <w:pStyle w:val="underpoint"/>
        <w:rPr>
          <w:b/>
        </w:rPr>
      </w:pPr>
      <w:r w:rsidRPr="00F358A2">
        <w:rPr>
          <w:b/>
        </w:rPr>
        <w:t>1.16. Массу конструкций перемычек, подлежащих укладке пакетами, следует определять исходя из массы пакета.</w:t>
      </w:r>
    </w:p>
    <w:p w:rsidR="00052D4E" w:rsidRPr="00F358A2" w:rsidRDefault="00052D4E">
      <w:pPr>
        <w:pStyle w:val="underpoint"/>
        <w:rPr>
          <w:b/>
        </w:rPr>
      </w:pPr>
      <w:r w:rsidRPr="00F358A2">
        <w:rPr>
          <w:b/>
        </w:rPr>
        <w:t>1.17. Расходы на выполнение работ по установке в пределах пролета стропильных и подстропильных конструкций, отличающихся по массе, следует определять по нормам, соответствующим наибольшей массе этих конструкций.</w:t>
      </w:r>
    </w:p>
    <w:p w:rsidR="00052D4E" w:rsidRPr="00F358A2" w:rsidRDefault="00052D4E">
      <w:pPr>
        <w:pStyle w:val="underpoint"/>
        <w:rPr>
          <w:b/>
        </w:rPr>
      </w:pPr>
      <w:r w:rsidRPr="00F358A2">
        <w:rPr>
          <w:b/>
        </w:rPr>
        <w:t>1.18. Расходы на установку укрупненных стеновых панелей (с угловыми блоками или карнизными панелями) определяются по нормам таблицы 7-16, исходя из их суммарной площади.</w:t>
      </w:r>
    </w:p>
    <w:p w:rsidR="00052D4E" w:rsidRPr="00F358A2" w:rsidRDefault="00052D4E">
      <w:pPr>
        <w:pStyle w:val="underpoint"/>
        <w:rPr>
          <w:b/>
        </w:rPr>
      </w:pPr>
      <w:r w:rsidRPr="00F358A2">
        <w:rPr>
          <w:b/>
        </w:rPr>
        <w:t xml:space="preserve">1.19. В нормативах таблицы 7-24 (нормы 1–3) учтено выполнение работ по устройству оград в </w:t>
      </w:r>
      <w:proofErr w:type="spellStart"/>
      <w:r w:rsidRPr="00F358A2">
        <w:rPr>
          <w:b/>
        </w:rPr>
        <w:t>непучинистых</w:t>
      </w:r>
      <w:proofErr w:type="spellEnd"/>
      <w:r w:rsidRPr="00F358A2">
        <w:rPr>
          <w:b/>
        </w:rPr>
        <w:t xml:space="preserve"> грунтах с заложением фундаментов на глубину до 0,6 м, а для случаев выполнения этих работ в пучинистых грунтах – следует дополнительно учитывать расходы по устройству песчаной подушки по таблице 7-24 (норма 14).</w:t>
      </w:r>
    </w:p>
    <w:p w:rsidR="00052D4E" w:rsidRPr="00F358A2" w:rsidRDefault="00052D4E">
      <w:pPr>
        <w:pStyle w:val="underpoint"/>
        <w:rPr>
          <w:b/>
        </w:rPr>
      </w:pPr>
      <w:r w:rsidRPr="00F358A2">
        <w:rPr>
          <w:b/>
        </w:rPr>
        <w:t>1.20. В таблице 7-32 (норма 3) на выполнение работ по установке колонн предусмотрено, что они заполнены бетоном в заводских условиях.</w:t>
      </w:r>
    </w:p>
    <w:p w:rsidR="00052D4E" w:rsidRPr="00F358A2" w:rsidRDefault="00052D4E">
      <w:pPr>
        <w:pStyle w:val="underpoint"/>
        <w:rPr>
          <w:b/>
        </w:rPr>
      </w:pPr>
      <w:r w:rsidRPr="00F358A2">
        <w:rPr>
          <w:b/>
        </w:rPr>
        <w:t>1.21. В нормативах на выполнение работ по установке лестничных маршей массой до 1 т (таблица 7-47, нормы 3 и 5) предусмотрен монтаж маршей цокольных этажей.</w:t>
      </w:r>
    </w:p>
    <w:p w:rsidR="00052D4E" w:rsidRPr="00F358A2" w:rsidRDefault="00052D4E">
      <w:pPr>
        <w:pStyle w:val="underpoint"/>
        <w:rPr>
          <w:b/>
        </w:rPr>
      </w:pPr>
      <w:r w:rsidRPr="00F358A2">
        <w:rPr>
          <w:b/>
        </w:rPr>
        <w:t>1.22. В нормативах таблицы 7-52 предусмотрены расходы на выполнение работ по установке одинарных крупнопанельных перегородок.</w:t>
      </w:r>
    </w:p>
    <w:p w:rsidR="00052D4E" w:rsidRPr="00F358A2" w:rsidRDefault="00052D4E">
      <w:pPr>
        <w:pStyle w:val="newncpi"/>
        <w:rPr>
          <w:b/>
        </w:rPr>
      </w:pPr>
      <w:r w:rsidRPr="00F358A2">
        <w:rPr>
          <w:b/>
        </w:rPr>
        <w:t>Расходы на установку двойных крупнопанельных перегородок определяются с учетом коэффициентов, приведенных в разделе 3 Технической части.</w:t>
      </w:r>
    </w:p>
    <w:p w:rsidR="00052D4E" w:rsidRPr="00F358A2" w:rsidRDefault="00052D4E">
      <w:pPr>
        <w:pStyle w:val="underpoint"/>
        <w:rPr>
          <w:b/>
        </w:rPr>
      </w:pPr>
      <w:r w:rsidRPr="00F358A2">
        <w:rPr>
          <w:b/>
        </w:rPr>
        <w:t>1.23. В нормативах таблицы 7-57 (норма 1) предусмотрены расходы на выполнение работ по герметизации стыков прокладками в один ряд.</w:t>
      </w:r>
    </w:p>
    <w:p w:rsidR="00052D4E" w:rsidRPr="00F358A2" w:rsidRDefault="00052D4E">
      <w:pPr>
        <w:pStyle w:val="newncpi"/>
        <w:rPr>
          <w:b/>
        </w:rPr>
      </w:pPr>
      <w:r w:rsidRPr="00F358A2">
        <w:rPr>
          <w:b/>
        </w:rPr>
        <w:t>Расходы по герметизации стыков прокладками в два ряда определяются с учетом коэффициентов, приведенных в разделе 3 настоящей Технической части.</w:t>
      </w:r>
    </w:p>
    <w:p w:rsidR="00052D4E" w:rsidRPr="00F358A2" w:rsidRDefault="00052D4E">
      <w:pPr>
        <w:pStyle w:val="underpoint"/>
        <w:rPr>
          <w:b/>
        </w:rPr>
      </w:pPr>
      <w:r w:rsidRPr="00F358A2">
        <w:rPr>
          <w:b/>
        </w:rPr>
        <w:t>1.24. Расходы на выполнение работ по устройству двухстороннего дренажа следует определять по нормативам таблицы 7-63 с учетом коэффициентов, приведенных в разделе 3 Технической части.</w:t>
      </w:r>
    </w:p>
    <w:p w:rsidR="00052D4E" w:rsidRPr="00F358A2" w:rsidRDefault="00052D4E">
      <w:pPr>
        <w:pStyle w:val="underpoint"/>
        <w:rPr>
          <w:b/>
        </w:rPr>
      </w:pPr>
      <w:r w:rsidRPr="00F358A2">
        <w:rPr>
          <w:b/>
        </w:rPr>
        <w:lastRenderedPageBreak/>
        <w:t>1.25. Нормативами таблицы 7-64 не учтены расходы на выполнение работ по устройству каркасов стен.</w:t>
      </w:r>
    </w:p>
    <w:p w:rsidR="00052D4E" w:rsidRPr="00F358A2" w:rsidRDefault="00052D4E">
      <w:pPr>
        <w:pStyle w:val="underpoint"/>
        <w:rPr>
          <w:b/>
        </w:rPr>
      </w:pPr>
      <w:r w:rsidRPr="00F358A2">
        <w:rPr>
          <w:b/>
        </w:rPr>
        <w:t>1.26. Нормативами таблицы 7-66 не учтены расходы на выполнение работ по монтажу элементов фахверка.</w:t>
      </w:r>
    </w:p>
    <w:p w:rsidR="00052D4E" w:rsidRPr="00F358A2" w:rsidRDefault="00052D4E">
      <w:pPr>
        <w:pStyle w:val="underpoint"/>
        <w:rPr>
          <w:b/>
        </w:rPr>
      </w:pPr>
      <w:r w:rsidRPr="00F358A2">
        <w:rPr>
          <w:b/>
        </w:rPr>
        <w:t>1.27. В нормативах таблицы 7-83 предусмотрены расходы на устройство сборно-монолитного перекрытия «ДАХ» на высоте до 20 м.</w:t>
      </w:r>
    </w:p>
    <w:p w:rsidR="00052D4E" w:rsidRDefault="00052D4E">
      <w:pPr>
        <w:pStyle w:val="underpoint"/>
        <w:rPr>
          <w:b/>
        </w:rPr>
      </w:pPr>
      <w:r w:rsidRPr="00F358A2">
        <w:rPr>
          <w:b/>
        </w:rPr>
        <w:t>1.28. В таблицах нормативов приняты нормы расхода ресурсов, приведенных в наименовании. В случае применения в проектной документации объекта строительства ресурсов, отличных от приведенных, следует производить корректировку нормативов в соответствии с проектной документацией объекта строительства.</w:t>
      </w:r>
    </w:p>
    <w:p w:rsidR="007D2B56" w:rsidRDefault="007D2B56" w:rsidP="007D2B56">
      <w:pPr>
        <w:pStyle w:val="aa"/>
        <w:ind w:firstLine="567"/>
        <w:jc w:val="both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1.29</w:t>
      </w:r>
      <w:r w:rsidR="004B59FF">
        <w:rPr>
          <w:rFonts w:ascii="Times New Roman" w:hAnsi="Times New Roman"/>
          <w:b/>
          <w:sz w:val="24"/>
          <w:lang w:val="ru-RU"/>
        </w:rPr>
        <w:t>.</w:t>
      </w:r>
      <w:r>
        <w:rPr>
          <w:rFonts w:ascii="Times New Roman" w:hAnsi="Times New Roman"/>
          <w:b/>
          <w:sz w:val="24"/>
          <w:lang w:val="ru-RU"/>
        </w:rPr>
        <w:t xml:space="preserve"> В нормативах сборника не учтены:</w:t>
      </w:r>
    </w:p>
    <w:p w:rsidR="007A7EA3" w:rsidRPr="007A7EA3" w:rsidRDefault="007A7EA3" w:rsidP="007A7EA3">
      <w:pPr>
        <w:pStyle w:val="aa"/>
        <w:ind w:firstLine="720"/>
        <w:jc w:val="both"/>
        <w:rPr>
          <w:rFonts w:ascii="Times New Roman" w:hAnsi="Times New Roman"/>
          <w:b/>
          <w:sz w:val="24"/>
          <w:lang w:val="ru-RU"/>
        </w:rPr>
      </w:pPr>
      <w:r w:rsidRPr="007A7EA3">
        <w:rPr>
          <w:rFonts w:ascii="Times New Roman" w:hAnsi="Times New Roman"/>
          <w:b/>
          <w:sz w:val="24"/>
          <w:lang w:val="ru-RU"/>
        </w:rPr>
        <w:t>- нормы времени эксплуатации вспомогательных машин и механизмов, затраты на эксплуатацию которых установлены в процентной норме от стоимости эксплуатации машин и механизмов, учтенных в нормативах, согласно Таблице 1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</w:p>
    <w:p w:rsidR="007A7EA3" w:rsidRPr="007A7EA3" w:rsidRDefault="007A7EA3" w:rsidP="007A7EA3">
      <w:pPr>
        <w:pStyle w:val="aa"/>
        <w:ind w:firstLine="720"/>
        <w:jc w:val="both"/>
        <w:rPr>
          <w:rFonts w:ascii="Times New Roman" w:hAnsi="Times New Roman"/>
          <w:b/>
          <w:sz w:val="24"/>
          <w:lang w:val="ru-RU"/>
        </w:rPr>
      </w:pPr>
      <w:r w:rsidRPr="007A7EA3">
        <w:rPr>
          <w:rFonts w:ascii="Times New Roman" w:hAnsi="Times New Roman"/>
          <w:b/>
          <w:sz w:val="24"/>
          <w:lang w:val="ru-RU"/>
        </w:rPr>
        <w:t>- нормы расхода вспомогательных материалов, затраты на которые установлены в процентной норме от стоимости материальных ресурсов с конкретным кодом каталога-классификатора материалов для строительства, учтенных в нормативах расхода ресурсов в натуральном выражении, согласно Таблице 2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</w:p>
    <w:p w:rsidR="007D2B56" w:rsidRDefault="007A7EA3" w:rsidP="007A7EA3">
      <w:pPr>
        <w:pStyle w:val="aa"/>
        <w:ind w:firstLine="720"/>
        <w:jc w:val="both"/>
        <w:rPr>
          <w:rFonts w:ascii="Times New Roman" w:hAnsi="Times New Roman"/>
          <w:b/>
          <w:sz w:val="24"/>
          <w:lang w:val="ru-RU"/>
        </w:rPr>
      </w:pPr>
      <w:r w:rsidRPr="007A7EA3">
        <w:rPr>
          <w:rFonts w:ascii="Times New Roman" w:hAnsi="Times New Roman"/>
          <w:b/>
          <w:sz w:val="24"/>
          <w:lang w:val="ru-RU"/>
        </w:rPr>
        <w:t>- транспортные расходы (включая затраты на хранение) по доставке вспомогательных материалов, которые установлены в процентной норме от стоимости вспомогательных материалов, согласно Таблице 2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цен.</w:t>
      </w:r>
    </w:p>
    <w:p w:rsidR="003F4BED" w:rsidRPr="00815174" w:rsidRDefault="007D2B56" w:rsidP="007A7EA3">
      <w:pPr>
        <w:pStyle w:val="aa"/>
        <w:spacing w:before="120"/>
        <w:ind w:firstLine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ru-RU"/>
        </w:rPr>
        <w:t xml:space="preserve">Таблица </w:t>
      </w:r>
      <w:r w:rsidR="004B59FF">
        <w:rPr>
          <w:rFonts w:ascii="Times New Roman" w:hAnsi="Times New Roman"/>
          <w:b/>
          <w:sz w:val="24"/>
          <w:lang w:val="ru-RU"/>
        </w:rPr>
        <w:t>1</w:t>
      </w:r>
      <w:r w:rsidR="003F4BED">
        <w:rPr>
          <w:rFonts w:ascii="Times New Roman" w:hAnsi="Times New Roman"/>
          <w:b/>
          <w:sz w:val="24"/>
          <w:lang w:val="ru-RU"/>
        </w:rPr>
        <w:t xml:space="preserve"> </w:t>
      </w:r>
      <w:r w:rsidR="007A7EA3">
        <w:rPr>
          <w:rFonts w:ascii="Times New Roman" w:hAnsi="Times New Roman"/>
          <w:b/>
          <w:sz w:val="24"/>
          <w:lang w:val="ru-RU"/>
        </w:rPr>
        <w:t>–</w:t>
      </w:r>
      <w:r w:rsidR="003F4BED">
        <w:rPr>
          <w:rFonts w:ascii="Times New Roman" w:hAnsi="Times New Roman"/>
          <w:b/>
          <w:sz w:val="24"/>
          <w:lang w:val="ru-RU"/>
        </w:rPr>
        <w:t xml:space="preserve"> </w:t>
      </w:r>
      <w:r w:rsidR="007A7EA3" w:rsidRPr="007A7EA3">
        <w:rPr>
          <w:rFonts w:ascii="Times New Roman" w:hAnsi="Times New Roman"/>
          <w:b/>
          <w:sz w:val="24"/>
        </w:rPr>
        <w:t>Нормы затрат на вспомогательные машины и механизмы</w:t>
      </w:r>
    </w:p>
    <w:p w:rsidR="007D2B56" w:rsidRPr="007D2B56" w:rsidRDefault="007D2B56" w:rsidP="007D2B56">
      <w:pPr>
        <w:pStyle w:val="aa"/>
        <w:ind w:firstLine="720"/>
        <w:jc w:val="right"/>
        <w:rPr>
          <w:rFonts w:ascii="Times New Roman" w:hAnsi="Times New Roman"/>
          <w:b/>
          <w:sz w:val="16"/>
          <w:szCs w:val="16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7"/>
        <w:gridCol w:w="2332"/>
        <w:gridCol w:w="2332"/>
      </w:tblGrid>
      <w:tr w:rsidR="007A7EA3" w:rsidRPr="008E7375" w:rsidTr="00D0252E">
        <w:trPr>
          <w:trHeight w:val="765"/>
        </w:trPr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7A7EA3" w:rsidRPr="00CC302F" w:rsidRDefault="007A7EA3" w:rsidP="007A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_Hlk221711664"/>
            <w:r w:rsidRPr="00CC30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Номера таблиц (норм)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A7EA3" w:rsidRPr="00A174D2" w:rsidRDefault="007A7EA3" w:rsidP="007A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4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% вспомогательных машин и механизмов от стоимости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эксплуатации </w:t>
            </w:r>
            <w:r w:rsidRPr="00A174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машин и механизмов, учтенных в нормативах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A7EA3" w:rsidRPr="00A174D2" w:rsidRDefault="007A7EA3" w:rsidP="007A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4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% заработной платы машинистов в стоимости вспомогательных машин и механизмов</w:t>
            </w:r>
          </w:p>
        </w:tc>
      </w:tr>
      <w:tr w:rsidR="007A7EA3" w:rsidRPr="008E7375" w:rsidTr="00D0252E">
        <w:trPr>
          <w:trHeight w:val="73"/>
        </w:trPr>
        <w:tc>
          <w:tcPr>
            <w:tcW w:w="5103" w:type="dxa"/>
            <w:shd w:val="clear" w:color="auto" w:fill="auto"/>
            <w:noWrap/>
            <w:vAlign w:val="center"/>
          </w:tcPr>
          <w:p w:rsidR="007A7EA3" w:rsidRPr="00CC302F" w:rsidRDefault="007A7EA3" w:rsidP="007A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7EA3" w:rsidRPr="00A174D2" w:rsidRDefault="007A7EA3" w:rsidP="007A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7EA3" w:rsidRPr="00A174D2" w:rsidRDefault="007A7EA3" w:rsidP="007A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bookmarkEnd w:id="0"/>
      <w:tr w:rsidR="007A7EA3" w:rsidRPr="007D2B56" w:rsidTr="00D0252E">
        <w:trPr>
          <w:trHeight w:val="255"/>
        </w:trPr>
        <w:tc>
          <w:tcPr>
            <w:tcW w:w="5103" w:type="dxa"/>
            <w:shd w:val="clear" w:color="auto" w:fill="auto"/>
            <w:vAlign w:val="center"/>
            <w:hideMark/>
          </w:tcPr>
          <w:p w:rsidR="007A7EA3" w:rsidRPr="007D2B56" w:rsidRDefault="007A7EA3" w:rsidP="00D02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7-5 (15,16,23,24), 7-6 (6,8,9,10,11,12,13), 7-8 (17), 7-10 (1,2,3,4), 7-13 (21,22), 7-24 (4,5,6,7,8,9,10,11,12,13), 7-43 (2,3), 7-49 (1,2,3,4,</w:t>
            </w:r>
            <w:r w:rsidR="00D025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5,6,7), 7-50 (5,6,7,8,9), 7-62 (3), 7-78, 7-80 (1,2,4)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0.5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7A7EA3" w:rsidRPr="007D2B56" w:rsidTr="00D0252E">
        <w:trPr>
          <w:trHeight w:val="73"/>
        </w:trPr>
        <w:tc>
          <w:tcPr>
            <w:tcW w:w="5103" w:type="dxa"/>
            <w:shd w:val="clear" w:color="auto" w:fill="auto"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7-35 (2), 7-47 (2,4,6)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64.6</w:t>
            </w:r>
          </w:p>
        </w:tc>
      </w:tr>
      <w:tr w:rsidR="007A7EA3" w:rsidRPr="007D2B56" w:rsidTr="00D0252E">
        <w:trPr>
          <w:trHeight w:val="255"/>
        </w:trPr>
        <w:tc>
          <w:tcPr>
            <w:tcW w:w="5103" w:type="dxa"/>
            <w:shd w:val="clear" w:color="auto" w:fill="auto"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7-5 (5,6,7,12,13,14,20,21,22), 7-6 (1,2,3,4,5,7), 7-8 (5,11,16), 7-43 (1), 7-62 (2), 7-80 (3,5)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7A7EA3" w:rsidRPr="007D2B56" w:rsidTr="00D0252E">
        <w:trPr>
          <w:trHeight w:val="73"/>
        </w:trPr>
        <w:tc>
          <w:tcPr>
            <w:tcW w:w="5103" w:type="dxa"/>
            <w:shd w:val="clear" w:color="auto" w:fill="auto"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7-24 (2)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31.3</w:t>
            </w:r>
          </w:p>
        </w:tc>
      </w:tr>
      <w:tr w:rsidR="007A7EA3" w:rsidRPr="007D2B56" w:rsidTr="00D0252E">
        <w:trPr>
          <w:trHeight w:val="92"/>
        </w:trPr>
        <w:tc>
          <w:tcPr>
            <w:tcW w:w="5103" w:type="dxa"/>
            <w:shd w:val="clear" w:color="auto" w:fill="auto"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7-16 (1,2,3,4,9,10), 7-21 (9,10,11), 7-35 (4,5), 7-39, 7-85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64.4</w:t>
            </w:r>
          </w:p>
        </w:tc>
      </w:tr>
      <w:tr w:rsidR="007A7EA3" w:rsidRPr="007D2B56" w:rsidTr="00D0252E">
        <w:trPr>
          <w:trHeight w:val="73"/>
        </w:trPr>
        <w:tc>
          <w:tcPr>
            <w:tcW w:w="5103" w:type="dxa"/>
            <w:shd w:val="clear" w:color="auto" w:fill="auto"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7-5 (1,2,3,4,8,9,10,11,17,18,19), 7-7, 7-8 (4,10)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7A7EA3" w:rsidRPr="007D2B56" w:rsidTr="00D0252E">
        <w:trPr>
          <w:trHeight w:val="84"/>
        </w:trPr>
        <w:tc>
          <w:tcPr>
            <w:tcW w:w="5103" w:type="dxa"/>
            <w:shd w:val="clear" w:color="auto" w:fill="auto"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7-24 (1), 7-25 (3,7,8,11)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36.2</w:t>
            </w:r>
          </w:p>
        </w:tc>
      </w:tr>
      <w:tr w:rsidR="007A7EA3" w:rsidRPr="007D2B56" w:rsidTr="00D0252E">
        <w:trPr>
          <w:trHeight w:val="255"/>
        </w:trPr>
        <w:tc>
          <w:tcPr>
            <w:tcW w:w="5103" w:type="dxa"/>
            <w:shd w:val="clear" w:color="auto" w:fill="auto"/>
            <w:vAlign w:val="center"/>
            <w:hideMark/>
          </w:tcPr>
          <w:p w:rsidR="007A7EA3" w:rsidRDefault="007A7EA3" w:rsidP="007A7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7-16 (19,20), 7-21 (3,7,12), 7-35 (1,3), 7-37 (2), 7-38 (2), </w:t>
            </w:r>
          </w:p>
          <w:p w:rsidR="007A7EA3" w:rsidRPr="007D2B56" w:rsidRDefault="007A7EA3" w:rsidP="007A7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7-47 (5)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64.6</w:t>
            </w:r>
          </w:p>
        </w:tc>
      </w:tr>
      <w:tr w:rsidR="007A7EA3" w:rsidRPr="007D2B56" w:rsidTr="00D0252E">
        <w:trPr>
          <w:trHeight w:val="15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7-24 (3), 7-25 (2,4,5)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31.3</w:t>
            </w:r>
          </w:p>
        </w:tc>
      </w:tr>
      <w:tr w:rsidR="007A7EA3" w:rsidRPr="007D2B56" w:rsidTr="00D0252E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A3" w:rsidRDefault="007A7EA3" w:rsidP="007A7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7-16 (6,15,16,17,18), 7-21 (1,5), 7-38 (1), 7-40, 7-41, </w:t>
            </w:r>
          </w:p>
          <w:p w:rsidR="007A7EA3" w:rsidRPr="007D2B56" w:rsidRDefault="007A7EA3" w:rsidP="007A7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7-47 (1,3)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64.6</w:t>
            </w:r>
          </w:p>
        </w:tc>
      </w:tr>
      <w:tr w:rsidR="007A7EA3" w:rsidRPr="007D2B56" w:rsidTr="00D0252E">
        <w:trPr>
          <w:trHeight w:val="7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7-83 (1,3,4,5,6)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7A7EA3" w:rsidRPr="007D2B56" w:rsidTr="00D0252E">
        <w:trPr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7-25 (6)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32.2</w:t>
            </w:r>
          </w:p>
        </w:tc>
      </w:tr>
      <w:tr w:rsidR="007A7EA3" w:rsidRPr="007D2B56" w:rsidTr="00D0252E">
        <w:trPr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7-21 (2,6), 7-61 (1)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64.6</w:t>
            </w:r>
          </w:p>
        </w:tc>
      </w:tr>
    </w:tbl>
    <w:p w:rsidR="007A7EA3" w:rsidRDefault="007A7EA3" w:rsidP="007A7EA3">
      <w:pPr>
        <w:jc w:val="right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Продолжение таблицы</w:t>
      </w:r>
      <w:r w:rsidRPr="00604A9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7"/>
        <w:gridCol w:w="2332"/>
        <w:gridCol w:w="2332"/>
      </w:tblGrid>
      <w:tr w:rsidR="007A7EA3" w:rsidRPr="00A174D2" w:rsidTr="00D0252E">
        <w:trPr>
          <w:trHeight w:val="765"/>
        </w:trPr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7A7EA3" w:rsidRPr="00CC302F" w:rsidRDefault="007A7EA3" w:rsidP="009B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0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Номера таблиц (норм)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A7EA3" w:rsidRPr="00A174D2" w:rsidRDefault="007A7EA3" w:rsidP="009B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4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% вспомогательных машин и механизмов от стоимости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эксплуатации </w:t>
            </w:r>
            <w:r w:rsidRPr="00A174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машин и механизмов, учтенных в нормативах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A7EA3" w:rsidRPr="00A174D2" w:rsidRDefault="007A7EA3" w:rsidP="009B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4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% заработной платы машинистов в стоимости вспомогательных машин и механизмов</w:t>
            </w:r>
          </w:p>
        </w:tc>
      </w:tr>
      <w:tr w:rsidR="007A7EA3" w:rsidRPr="00A174D2" w:rsidTr="00D0252E">
        <w:trPr>
          <w:trHeight w:val="73"/>
        </w:trPr>
        <w:tc>
          <w:tcPr>
            <w:tcW w:w="5103" w:type="dxa"/>
            <w:shd w:val="clear" w:color="auto" w:fill="auto"/>
            <w:noWrap/>
            <w:vAlign w:val="center"/>
          </w:tcPr>
          <w:p w:rsidR="007A7EA3" w:rsidRPr="00CC302F" w:rsidRDefault="007A7EA3" w:rsidP="009B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7EA3" w:rsidRPr="00A174D2" w:rsidRDefault="007A7EA3" w:rsidP="009B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7EA3" w:rsidRPr="00A174D2" w:rsidRDefault="007A7EA3" w:rsidP="009B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A7EA3" w:rsidRPr="007D2B56" w:rsidTr="00D0252E">
        <w:trPr>
          <w:trHeight w:val="73"/>
        </w:trPr>
        <w:tc>
          <w:tcPr>
            <w:tcW w:w="5103" w:type="dxa"/>
            <w:shd w:val="clear" w:color="auto" w:fill="auto"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7-83 (2)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5.4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7A7EA3" w:rsidRPr="007D2B56" w:rsidTr="00D0252E">
        <w:trPr>
          <w:trHeight w:val="73"/>
        </w:trPr>
        <w:tc>
          <w:tcPr>
            <w:tcW w:w="5103" w:type="dxa"/>
            <w:shd w:val="clear" w:color="auto" w:fill="auto"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7-25 (1)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29.9</w:t>
            </w:r>
          </w:p>
        </w:tc>
      </w:tr>
      <w:tr w:rsidR="007A7EA3" w:rsidRPr="007D2B56" w:rsidTr="00D0252E">
        <w:trPr>
          <w:trHeight w:val="73"/>
        </w:trPr>
        <w:tc>
          <w:tcPr>
            <w:tcW w:w="5103" w:type="dxa"/>
            <w:shd w:val="clear" w:color="auto" w:fill="auto"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7-16 (5,8,13,14), 7-21 (8), 7-30 (2), 7-61 (2), 7-71 (2)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64</w:t>
            </w:r>
          </w:p>
        </w:tc>
      </w:tr>
      <w:tr w:rsidR="007A7EA3" w:rsidRPr="007D2B56" w:rsidTr="00D0252E">
        <w:trPr>
          <w:trHeight w:val="73"/>
        </w:trPr>
        <w:tc>
          <w:tcPr>
            <w:tcW w:w="5103" w:type="dxa"/>
            <w:shd w:val="clear" w:color="auto" w:fill="auto"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7-16 (11,12), 7-21 (4), 7-30 (3,4,5)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6.3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64.6</w:t>
            </w:r>
          </w:p>
        </w:tc>
      </w:tr>
      <w:tr w:rsidR="007A7EA3" w:rsidRPr="007D2B56" w:rsidTr="00D0252E">
        <w:trPr>
          <w:trHeight w:val="73"/>
        </w:trPr>
        <w:tc>
          <w:tcPr>
            <w:tcW w:w="5103" w:type="dxa"/>
            <w:shd w:val="clear" w:color="auto" w:fill="auto"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7-30 (1), 7-37 (1), 7-61 (3), 7-71 (1)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7.3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63.5</w:t>
            </w:r>
          </w:p>
        </w:tc>
      </w:tr>
      <w:tr w:rsidR="007A7EA3" w:rsidRPr="007D2B56" w:rsidTr="00D0252E">
        <w:trPr>
          <w:trHeight w:val="73"/>
        </w:trPr>
        <w:tc>
          <w:tcPr>
            <w:tcW w:w="5103" w:type="dxa"/>
            <w:shd w:val="clear" w:color="auto" w:fill="auto"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7-30 (6,7,8,9,10,11,12,13,14,15)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8.4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64.6</w:t>
            </w:r>
          </w:p>
        </w:tc>
      </w:tr>
      <w:tr w:rsidR="007A7EA3" w:rsidRPr="007D2B56" w:rsidTr="00D0252E">
        <w:trPr>
          <w:trHeight w:val="73"/>
        </w:trPr>
        <w:tc>
          <w:tcPr>
            <w:tcW w:w="5103" w:type="dxa"/>
            <w:shd w:val="clear" w:color="auto" w:fill="auto"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7-16 (7)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A7EA3" w:rsidRPr="007D2B56" w:rsidRDefault="007A7EA3" w:rsidP="007A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64.6</w:t>
            </w:r>
          </w:p>
        </w:tc>
      </w:tr>
    </w:tbl>
    <w:p w:rsidR="007D2B56" w:rsidRDefault="007D2B56" w:rsidP="007A7EA3">
      <w:pPr>
        <w:pStyle w:val="aa"/>
        <w:spacing w:before="120"/>
        <w:ind w:firstLine="720"/>
        <w:jc w:val="both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 xml:space="preserve">Таблица </w:t>
      </w:r>
      <w:r w:rsidR="004B59FF">
        <w:rPr>
          <w:rFonts w:ascii="Times New Roman" w:hAnsi="Times New Roman"/>
          <w:b/>
          <w:sz w:val="24"/>
          <w:lang w:val="ru-RU"/>
        </w:rPr>
        <w:t>2</w:t>
      </w:r>
      <w:r w:rsidR="003F4BED">
        <w:rPr>
          <w:rFonts w:ascii="Times New Roman" w:hAnsi="Times New Roman"/>
          <w:b/>
          <w:sz w:val="24"/>
          <w:lang w:val="ru-RU"/>
        </w:rPr>
        <w:t xml:space="preserve"> </w:t>
      </w:r>
      <w:r w:rsidR="007A7EA3">
        <w:rPr>
          <w:rFonts w:ascii="Times New Roman" w:hAnsi="Times New Roman"/>
          <w:b/>
          <w:sz w:val="24"/>
          <w:lang w:val="ru-RU"/>
        </w:rPr>
        <w:t>–</w:t>
      </w:r>
      <w:r w:rsidR="003F4BED">
        <w:rPr>
          <w:rFonts w:ascii="Times New Roman" w:hAnsi="Times New Roman"/>
          <w:b/>
          <w:sz w:val="24"/>
          <w:lang w:val="ru-RU"/>
        </w:rPr>
        <w:t xml:space="preserve"> </w:t>
      </w:r>
      <w:r w:rsidR="007A7EA3" w:rsidRPr="007A7EA3">
        <w:rPr>
          <w:rFonts w:ascii="Times New Roman" w:hAnsi="Times New Roman"/>
          <w:b/>
          <w:sz w:val="24"/>
          <w:lang w:val="ru-RU"/>
        </w:rPr>
        <w:t>Нормы затрат на вспомогательные материалы и транспортные расходы (включая затраты на хранение) по доставке вспомогательных материалов</w:t>
      </w:r>
    </w:p>
    <w:p w:rsidR="00000FCA" w:rsidRPr="00000FCA" w:rsidRDefault="00000FCA" w:rsidP="007D2B56">
      <w:pPr>
        <w:pStyle w:val="aa"/>
        <w:ind w:firstLine="720"/>
        <w:jc w:val="right"/>
        <w:rPr>
          <w:rFonts w:ascii="Times New Roman" w:hAnsi="Times New Roman"/>
          <w:b/>
          <w:sz w:val="16"/>
          <w:szCs w:val="16"/>
          <w:lang w:val="ru-RU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9"/>
        <w:gridCol w:w="2332"/>
        <w:gridCol w:w="2332"/>
        <w:gridCol w:w="6"/>
      </w:tblGrid>
      <w:tr w:rsidR="007A7EA3" w:rsidRPr="007D2B56" w:rsidTr="00D0252E">
        <w:trPr>
          <w:gridAfter w:val="1"/>
          <w:wAfter w:w="6" w:type="dxa"/>
          <w:trHeight w:val="1155"/>
        </w:trPr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7A7EA3" w:rsidRPr="007A7EA3" w:rsidRDefault="007A7EA3" w:rsidP="007A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Номера таблиц (норм)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A7EA3" w:rsidRPr="007A7EA3" w:rsidRDefault="007A7EA3" w:rsidP="007A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вспомогательных материалов от стоимости материалов, учтенных в нормативах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A7EA3" w:rsidRPr="007A7EA3" w:rsidRDefault="007A7EA3" w:rsidP="007A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транспортных расходов, включая затраты на хранение, от стоимости вспомогательных материалов</w:t>
            </w:r>
          </w:p>
        </w:tc>
      </w:tr>
      <w:tr w:rsidR="007A7EA3" w:rsidRPr="007D2B56" w:rsidTr="00D0252E">
        <w:trPr>
          <w:gridAfter w:val="1"/>
          <w:wAfter w:w="6" w:type="dxa"/>
          <w:trHeight w:val="73"/>
        </w:trPr>
        <w:tc>
          <w:tcPr>
            <w:tcW w:w="5103" w:type="dxa"/>
            <w:shd w:val="clear" w:color="auto" w:fill="auto"/>
            <w:noWrap/>
            <w:vAlign w:val="center"/>
          </w:tcPr>
          <w:p w:rsidR="007A7EA3" w:rsidRPr="007A7EA3" w:rsidRDefault="007A7EA3" w:rsidP="007A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7EA3" w:rsidRPr="007A7EA3" w:rsidRDefault="007A7EA3" w:rsidP="007A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7EA3" w:rsidRPr="007A7EA3" w:rsidRDefault="007A7EA3" w:rsidP="007A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4B59FF" w:rsidRPr="007D2B56" w:rsidTr="00D0252E">
        <w:trPr>
          <w:gridAfter w:val="1"/>
          <w:wAfter w:w="6" w:type="dxa"/>
          <w:trHeight w:val="88"/>
        </w:trPr>
        <w:tc>
          <w:tcPr>
            <w:tcW w:w="5103" w:type="dxa"/>
            <w:shd w:val="clear" w:color="auto" w:fill="auto"/>
            <w:vAlign w:val="center"/>
            <w:hideMark/>
          </w:tcPr>
          <w:p w:rsidR="004B59FF" w:rsidRPr="007D2B56" w:rsidRDefault="004B59FF" w:rsidP="007D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7-77, 7-78, 7-86 (5,6,7,8,9,10,11,12,13,14,15,16,17,18,19)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4B59FF" w:rsidRPr="007D2B56" w:rsidRDefault="004B59FF" w:rsidP="007D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0.4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B59FF" w:rsidRPr="007D2B56" w:rsidRDefault="004B59FF" w:rsidP="007D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4B59FF" w:rsidRPr="007D2B56" w:rsidTr="00D0252E">
        <w:trPr>
          <w:gridAfter w:val="1"/>
          <w:wAfter w:w="6" w:type="dxa"/>
          <w:trHeight w:val="73"/>
        </w:trPr>
        <w:tc>
          <w:tcPr>
            <w:tcW w:w="5103" w:type="dxa"/>
            <w:shd w:val="clear" w:color="auto" w:fill="auto"/>
            <w:vAlign w:val="center"/>
            <w:hideMark/>
          </w:tcPr>
          <w:p w:rsidR="004B59FF" w:rsidRPr="007D2B56" w:rsidRDefault="004B59FF" w:rsidP="007D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7-43 (1,2,3)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4B59FF" w:rsidRPr="007D2B56" w:rsidRDefault="004B59FF" w:rsidP="007D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B59FF" w:rsidRPr="007D2B56" w:rsidRDefault="004B59FF" w:rsidP="007D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5.6</w:t>
            </w:r>
          </w:p>
        </w:tc>
      </w:tr>
      <w:tr w:rsidR="004B59FF" w:rsidRPr="007D2B56" w:rsidTr="00D0252E">
        <w:trPr>
          <w:gridAfter w:val="1"/>
          <w:wAfter w:w="6" w:type="dxa"/>
          <w:trHeight w:val="73"/>
        </w:trPr>
        <w:tc>
          <w:tcPr>
            <w:tcW w:w="5103" w:type="dxa"/>
            <w:shd w:val="clear" w:color="auto" w:fill="auto"/>
            <w:vAlign w:val="center"/>
            <w:hideMark/>
          </w:tcPr>
          <w:p w:rsidR="004B59FF" w:rsidRPr="007D2B56" w:rsidRDefault="004B59FF" w:rsidP="007D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7-10 (9,10,16,17), 7-86 (23,24)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4B59FF" w:rsidRPr="007D2B56" w:rsidRDefault="004B59FF" w:rsidP="007D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B59FF" w:rsidRPr="007D2B56" w:rsidRDefault="004B59FF" w:rsidP="007D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7.7</w:t>
            </w:r>
          </w:p>
        </w:tc>
      </w:tr>
      <w:tr w:rsidR="004B59FF" w:rsidRPr="007D2B56" w:rsidTr="00D0252E">
        <w:trPr>
          <w:gridAfter w:val="1"/>
          <w:wAfter w:w="6" w:type="dxa"/>
          <w:trHeight w:val="73"/>
        </w:trPr>
        <w:tc>
          <w:tcPr>
            <w:tcW w:w="5103" w:type="dxa"/>
            <w:shd w:val="clear" w:color="auto" w:fill="auto"/>
            <w:vAlign w:val="center"/>
            <w:hideMark/>
          </w:tcPr>
          <w:p w:rsidR="004B59FF" w:rsidRPr="007D2B56" w:rsidRDefault="004B59FF" w:rsidP="007D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7-10 (8), 7-18 (4)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4B59FF" w:rsidRPr="007D2B56" w:rsidRDefault="004B59FF" w:rsidP="007D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B59FF" w:rsidRPr="007D2B56" w:rsidRDefault="004B59FF" w:rsidP="007D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8.7</w:t>
            </w:r>
          </w:p>
        </w:tc>
      </w:tr>
      <w:tr w:rsidR="004B59FF" w:rsidRPr="007D2B56" w:rsidTr="00D0252E">
        <w:trPr>
          <w:gridAfter w:val="1"/>
          <w:wAfter w:w="6" w:type="dxa"/>
          <w:trHeight w:val="283"/>
        </w:trPr>
        <w:tc>
          <w:tcPr>
            <w:tcW w:w="5103" w:type="dxa"/>
            <w:shd w:val="clear" w:color="auto" w:fill="auto"/>
            <w:vAlign w:val="center"/>
            <w:hideMark/>
          </w:tcPr>
          <w:p w:rsidR="004B59FF" w:rsidRPr="007D2B56" w:rsidRDefault="004B59FF" w:rsidP="00D02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7-3 (4,5,6,7), 7-6 (3,4,5,6,7,8,9,10,11,12,13), 7-13 (21,22), 7-15 (1,8,15), 7-23 (2), 7-30 (1,2,3,4,5,7,8,9,10,14,15), 7-33 (1,2,4,5,6,7), 7-34 (1,2,3,4,5,6,7,8,10), 7-36, 7-49 (5), 7-61 (1,2), 7-62 (1,2), 7-63 (3), 7-79, 7-80 (1), 7-81 (1,2)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4B59FF" w:rsidRPr="007D2B56" w:rsidRDefault="004B59FF" w:rsidP="007D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B59FF" w:rsidRPr="007D2B56" w:rsidRDefault="004B59FF" w:rsidP="007D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9.7</w:t>
            </w:r>
          </w:p>
        </w:tc>
      </w:tr>
      <w:tr w:rsidR="004B59FF" w:rsidRPr="007D2B56" w:rsidTr="00D0252E">
        <w:trPr>
          <w:gridAfter w:val="1"/>
          <w:wAfter w:w="6" w:type="dxa"/>
          <w:trHeight w:val="73"/>
        </w:trPr>
        <w:tc>
          <w:tcPr>
            <w:tcW w:w="5103" w:type="dxa"/>
            <w:shd w:val="clear" w:color="auto" w:fill="auto"/>
            <w:vAlign w:val="center"/>
            <w:hideMark/>
          </w:tcPr>
          <w:p w:rsidR="004B59FF" w:rsidRPr="007D2B56" w:rsidRDefault="004B59FF" w:rsidP="007D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7-24 (7,8,9), 7-25 (1)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4B59FF" w:rsidRPr="007D2B56" w:rsidRDefault="004B59FF" w:rsidP="007D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B59FF" w:rsidRPr="007D2B56" w:rsidRDefault="004B59FF" w:rsidP="007D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11.2</w:t>
            </w:r>
          </w:p>
        </w:tc>
      </w:tr>
      <w:tr w:rsidR="004B59FF" w:rsidRPr="007D2B56" w:rsidTr="00D0252E">
        <w:trPr>
          <w:gridAfter w:val="1"/>
          <w:wAfter w:w="6" w:type="dxa"/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F" w:rsidRPr="007D2B56" w:rsidRDefault="004B59FF" w:rsidP="00040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7-10 (2,3), 7-86 (1,2,3,4,20,21,22)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9FF" w:rsidRPr="007D2B56" w:rsidRDefault="004B59FF" w:rsidP="00D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9FF" w:rsidRPr="007D2B56" w:rsidRDefault="004B59FF" w:rsidP="0004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8.6</w:t>
            </w:r>
          </w:p>
        </w:tc>
      </w:tr>
      <w:tr w:rsidR="004B59FF" w:rsidRPr="007D2B56" w:rsidTr="00D0252E">
        <w:trPr>
          <w:gridAfter w:val="1"/>
          <w:wAfter w:w="6" w:type="dxa"/>
          <w:trHeight w:val="2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F" w:rsidRPr="007D2B56" w:rsidRDefault="004B59FF" w:rsidP="00D02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7-3 (8,9,10,11), 7-5 (9,10,11,12,13,14,15,16,17,18,19,20,21,22,23,</w:t>
            </w:r>
            <w:r w:rsidR="00D025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24), 7-6 (1,2), 7-10 (1,4,11,18), 7-15 (4,5,6,7,11,12,13,</w:t>
            </w:r>
            <w:r w:rsidR="00D025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14,18,</w:t>
            </w:r>
            <w:r w:rsidR="00D025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19,</w:t>
            </w:r>
            <w:r w:rsidR="00D025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20,21), 7-18 (1), 7-24 (16,17), 7-30 (6,11,12,13), 7-34 (9), 7-49 (3,4), 7-61 (3), 7-64 (1,4), 7-69, 7-74 (4,6), 7-80 (2,3,4,5), 7-81 (3)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9FF" w:rsidRPr="007D2B56" w:rsidRDefault="004B59FF" w:rsidP="00D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9FF" w:rsidRPr="007D2B56" w:rsidRDefault="004B59FF" w:rsidP="00D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9.7</w:t>
            </w:r>
          </w:p>
        </w:tc>
      </w:tr>
      <w:tr w:rsidR="004B59FF" w:rsidRPr="007D2B56" w:rsidTr="00D0252E">
        <w:trPr>
          <w:gridAfter w:val="1"/>
          <w:wAfter w:w="6" w:type="dxa"/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F" w:rsidRPr="007D2B56" w:rsidRDefault="004B59FF" w:rsidP="00DD2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7-24 (4,5,6), 7-25 (4,8), 7-43 (4)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9FF" w:rsidRPr="007D2B56" w:rsidRDefault="004B59FF" w:rsidP="00D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9FF" w:rsidRPr="007D2B56" w:rsidRDefault="004B59FF" w:rsidP="00D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11.2</w:t>
            </w:r>
          </w:p>
        </w:tc>
      </w:tr>
      <w:tr w:rsidR="004B59FF" w:rsidRPr="007D2B56" w:rsidTr="00D0252E">
        <w:trPr>
          <w:gridAfter w:val="1"/>
          <w:wAfter w:w="6" w:type="dxa"/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F" w:rsidRPr="007D2B56" w:rsidRDefault="004B59FF" w:rsidP="00DD2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7-18 (2)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9FF" w:rsidRPr="007D2B56" w:rsidRDefault="004B59FF" w:rsidP="00D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9FF" w:rsidRPr="007D2B56" w:rsidRDefault="004B59FF" w:rsidP="00D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8.7</w:t>
            </w:r>
          </w:p>
        </w:tc>
      </w:tr>
      <w:tr w:rsidR="004B59FF" w:rsidRPr="007D2B56" w:rsidTr="00D0252E">
        <w:trPr>
          <w:gridAfter w:val="1"/>
          <w:wAfter w:w="6" w:type="dxa"/>
          <w:trHeight w:val="13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F" w:rsidRPr="007D2B56" w:rsidRDefault="004B59FF" w:rsidP="00DD2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7-5 (1,2,3,4,5,6,7,8), 7-10 (15), 7-24 (15), 7-40 (1), 7-49 (7), 7-64 (2), 7-74 (1,2,3,5), 7-76 (3)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9FF" w:rsidRPr="007D2B56" w:rsidRDefault="004B59FF" w:rsidP="00D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9FF" w:rsidRPr="007D2B56" w:rsidRDefault="004B59FF" w:rsidP="00D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9.7</w:t>
            </w:r>
          </w:p>
        </w:tc>
      </w:tr>
      <w:tr w:rsidR="004B59FF" w:rsidRPr="007D2B56" w:rsidTr="00D0252E">
        <w:trPr>
          <w:gridAfter w:val="1"/>
          <w:wAfter w:w="6" w:type="dxa"/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F" w:rsidRPr="007D2B56" w:rsidRDefault="004B59FF" w:rsidP="00DD2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7-24 (10,11,12), 7-25 (2), 7-41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9FF" w:rsidRPr="007D2B56" w:rsidRDefault="004B59FF" w:rsidP="00D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9FF" w:rsidRPr="007D2B56" w:rsidRDefault="004B59FF" w:rsidP="00D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11.2</w:t>
            </w:r>
          </w:p>
        </w:tc>
      </w:tr>
      <w:tr w:rsidR="004B59FF" w:rsidRPr="007D2B56" w:rsidTr="00D0252E">
        <w:trPr>
          <w:gridAfter w:val="1"/>
          <w:wAfter w:w="6" w:type="dxa"/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F" w:rsidRPr="007D2B56" w:rsidRDefault="004B59FF" w:rsidP="00DD2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7-83 (1)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9FF" w:rsidRPr="007D2B56" w:rsidRDefault="004B59FF" w:rsidP="00D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9FF" w:rsidRPr="007D2B56" w:rsidRDefault="004B59FF" w:rsidP="00D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5.6</w:t>
            </w:r>
          </w:p>
        </w:tc>
      </w:tr>
      <w:tr w:rsidR="004B59FF" w:rsidRPr="007D2B56" w:rsidTr="00D0252E">
        <w:trPr>
          <w:gridAfter w:val="1"/>
          <w:wAfter w:w="6" w:type="dxa"/>
          <w:trHeight w:val="2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F" w:rsidRDefault="004B59FF" w:rsidP="00DD2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7-3 (1,2,3), 7-7 (4,5), 7-33 (3), 7-49 (1,2), 7-54 (3,4), 7-68, </w:t>
            </w:r>
          </w:p>
          <w:p w:rsidR="004B59FF" w:rsidRPr="007D2B56" w:rsidRDefault="004B59FF" w:rsidP="00DD2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7-73 (2,3,4)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9FF" w:rsidRPr="007D2B56" w:rsidRDefault="004B59FF" w:rsidP="00D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9FF" w:rsidRPr="007D2B56" w:rsidRDefault="004B59FF" w:rsidP="00D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9.7</w:t>
            </w:r>
          </w:p>
        </w:tc>
      </w:tr>
      <w:tr w:rsidR="004B59FF" w:rsidRPr="007D2B56" w:rsidTr="00D0252E">
        <w:trPr>
          <w:gridAfter w:val="1"/>
          <w:wAfter w:w="6" w:type="dxa"/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F" w:rsidRPr="007D2B56" w:rsidRDefault="004B59FF" w:rsidP="00DD2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7-43 (6)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9FF" w:rsidRPr="007D2B56" w:rsidRDefault="004B59FF" w:rsidP="00D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9FF" w:rsidRPr="007D2B56" w:rsidRDefault="004B59FF" w:rsidP="00D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10.9</w:t>
            </w:r>
          </w:p>
        </w:tc>
      </w:tr>
      <w:tr w:rsidR="004B59FF" w:rsidRPr="007D2B56" w:rsidTr="00D0252E">
        <w:trPr>
          <w:gridAfter w:val="1"/>
          <w:wAfter w:w="6" w:type="dxa"/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FF" w:rsidRPr="007D2B56" w:rsidRDefault="004B59FF" w:rsidP="00DD2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7-39, 7-43 (5)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9FF" w:rsidRPr="007D2B56" w:rsidRDefault="004B59FF" w:rsidP="00D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9FF" w:rsidRPr="007D2B56" w:rsidRDefault="004B59FF" w:rsidP="00D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11.2</w:t>
            </w:r>
          </w:p>
        </w:tc>
      </w:tr>
      <w:tr w:rsidR="00FF0D8A" w:rsidRPr="007D2B56" w:rsidTr="00D0252E">
        <w:trPr>
          <w:gridAfter w:val="1"/>
          <w:wAfter w:w="6" w:type="dxa"/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8A" w:rsidRPr="007D2B56" w:rsidRDefault="00FF0D8A" w:rsidP="00DD2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7-83 (5,6)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D8A" w:rsidRPr="007D2B56" w:rsidRDefault="00FF0D8A" w:rsidP="00FF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D8A" w:rsidRPr="007D2B56" w:rsidRDefault="00FF0D8A" w:rsidP="00D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4.9</w:t>
            </w:r>
          </w:p>
        </w:tc>
      </w:tr>
      <w:tr w:rsidR="00FF0D8A" w:rsidRPr="007D2B56" w:rsidTr="00D0252E">
        <w:trPr>
          <w:gridAfter w:val="1"/>
          <w:wAfter w:w="6" w:type="dxa"/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8A" w:rsidRPr="007D2B56" w:rsidRDefault="00FF0D8A" w:rsidP="00DD2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7-83 (2,3,4)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D8A" w:rsidRPr="007D2B56" w:rsidRDefault="00FF0D8A" w:rsidP="007D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D8A" w:rsidRPr="007D2B56" w:rsidRDefault="00FF0D8A" w:rsidP="00D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5.5</w:t>
            </w:r>
          </w:p>
        </w:tc>
      </w:tr>
      <w:tr w:rsidR="00FF0D8A" w:rsidRPr="007D2B56" w:rsidTr="00D0252E">
        <w:trPr>
          <w:gridAfter w:val="1"/>
          <w:wAfter w:w="6" w:type="dxa"/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8A" w:rsidRPr="007D2B56" w:rsidRDefault="00FF0D8A" w:rsidP="00DD2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7-15 (3,10,17)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D8A" w:rsidRPr="007D2B56" w:rsidRDefault="00FF0D8A" w:rsidP="007D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D8A" w:rsidRPr="007D2B56" w:rsidRDefault="00FF0D8A" w:rsidP="00D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6.8</w:t>
            </w:r>
          </w:p>
        </w:tc>
      </w:tr>
      <w:tr w:rsidR="00FF0D8A" w:rsidRPr="007D2B56" w:rsidTr="00D0252E">
        <w:trPr>
          <w:gridAfter w:val="1"/>
          <w:wAfter w:w="6" w:type="dxa"/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8A" w:rsidRPr="007D2B56" w:rsidRDefault="00FF0D8A" w:rsidP="00DD2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7-18 (5,6)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D8A" w:rsidRPr="007D2B56" w:rsidRDefault="00FF0D8A" w:rsidP="007D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D8A" w:rsidRPr="007D2B56" w:rsidRDefault="00FF0D8A" w:rsidP="00D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8.7</w:t>
            </w:r>
          </w:p>
        </w:tc>
      </w:tr>
      <w:tr w:rsidR="00FF0D8A" w:rsidRPr="007D2B56" w:rsidTr="00D0252E">
        <w:trPr>
          <w:gridAfter w:val="1"/>
          <w:wAfter w:w="6" w:type="dxa"/>
          <w:trHeight w:val="2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8A" w:rsidRPr="007D2B56" w:rsidRDefault="00FF0D8A" w:rsidP="00D02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7-7 (3), 7-9 (8,9,16,17,18), 7-15 (23,28,33), 7-16 (11,12,13,14), 7-49 (6), 7-52 (1,2), 7-64 (3), 7-76 (2,4)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D8A" w:rsidRPr="007D2B56" w:rsidRDefault="00FF0D8A" w:rsidP="007D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D8A" w:rsidRPr="007D2B56" w:rsidRDefault="00FF0D8A" w:rsidP="00D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9.7</w:t>
            </w:r>
          </w:p>
        </w:tc>
      </w:tr>
      <w:tr w:rsidR="00FF0D8A" w:rsidRPr="007D2B56" w:rsidTr="00D0252E">
        <w:trPr>
          <w:trHeight w:val="73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8A" w:rsidRPr="007D2B56" w:rsidRDefault="00FF0D8A" w:rsidP="007D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7-52 (3)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D8A" w:rsidRPr="007D2B56" w:rsidRDefault="00FF0D8A" w:rsidP="007D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D8A" w:rsidRPr="007D2B56" w:rsidRDefault="00FF0D8A" w:rsidP="007D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10.5</w:t>
            </w:r>
          </w:p>
        </w:tc>
      </w:tr>
      <w:tr w:rsidR="007D2B56" w:rsidRPr="007D2B56" w:rsidTr="00D0252E">
        <w:trPr>
          <w:trHeight w:val="469"/>
        </w:trPr>
        <w:tc>
          <w:tcPr>
            <w:tcW w:w="5103" w:type="dxa"/>
            <w:shd w:val="clear" w:color="auto" w:fill="auto"/>
            <w:vAlign w:val="center"/>
            <w:hideMark/>
          </w:tcPr>
          <w:p w:rsidR="007D2B56" w:rsidRPr="007D2B56" w:rsidRDefault="007D2B56" w:rsidP="00D02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7-7 (2), 7-8 (1,3,6,8,9,12,14,15), 7-13 (1,2,3,4,5,6,13,14,15,16,</w:t>
            </w:r>
            <w:r w:rsidR="00D025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17,18,</w:t>
            </w:r>
            <w:r w:rsidR="00D025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19,20), 7-23 (4), 7-35 (1), 7-50 (7), 7-73 (1)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D2B56" w:rsidRPr="007D2B56" w:rsidRDefault="007D2B56" w:rsidP="007D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5.5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:rsidR="007D2B56" w:rsidRPr="007D2B56" w:rsidRDefault="007D2B56" w:rsidP="007D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9.7</w:t>
            </w:r>
          </w:p>
        </w:tc>
      </w:tr>
      <w:tr w:rsidR="004B59FF" w:rsidRPr="007D2B56" w:rsidTr="00D0252E">
        <w:trPr>
          <w:trHeight w:val="265"/>
        </w:trPr>
        <w:tc>
          <w:tcPr>
            <w:tcW w:w="5103" w:type="dxa"/>
            <w:shd w:val="clear" w:color="auto" w:fill="auto"/>
            <w:vAlign w:val="center"/>
            <w:hideMark/>
          </w:tcPr>
          <w:p w:rsidR="004B59FF" w:rsidRPr="007D2B56" w:rsidRDefault="004B59FF" w:rsidP="00D02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7-7 (1), 7-8 (2,7,13), 7-9 (6,7), 7-13 (7,8,9,10,11), 7-22, 7-35 (3,4,5), 7-54 (2), 7-76 (1)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4B59FF" w:rsidRPr="007D2B56" w:rsidRDefault="004B59FF" w:rsidP="007D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6.5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:rsidR="004B59FF" w:rsidRPr="007D2B56" w:rsidRDefault="004B59FF" w:rsidP="007D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9.7</w:t>
            </w:r>
          </w:p>
        </w:tc>
      </w:tr>
      <w:tr w:rsidR="004B59FF" w:rsidRPr="007D2B56" w:rsidTr="00D0252E">
        <w:trPr>
          <w:trHeight w:val="73"/>
        </w:trPr>
        <w:tc>
          <w:tcPr>
            <w:tcW w:w="5103" w:type="dxa"/>
            <w:shd w:val="clear" w:color="auto" w:fill="auto"/>
            <w:vAlign w:val="center"/>
            <w:hideMark/>
          </w:tcPr>
          <w:p w:rsidR="004B59FF" w:rsidRPr="007D2B56" w:rsidRDefault="004B59FF" w:rsidP="007D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7-52 (4)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4B59FF" w:rsidRPr="007D2B56" w:rsidRDefault="004B59FF" w:rsidP="007D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:rsidR="004B59FF" w:rsidRPr="007D2B56" w:rsidRDefault="004B59FF" w:rsidP="007D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10.9</w:t>
            </w:r>
          </w:p>
        </w:tc>
      </w:tr>
    </w:tbl>
    <w:p w:rsidR="00207188" w:rsidRDefault="00207188"/>
    <w:p w:rsidR="00207188" w:rsidRDefault="00207188" w:rsidP="00207188">
      <w:pPr>
        <w:jc w:val="right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Продолжение таблицы</w:t>
      </w:r>
      <w:r w:rsidRPr="00604A9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9"/>
        <w:gridCol w:w="2332"/>
        <w:gridCol w:w="2332"/>
        <w:gridCol w:w="6"/>
      </w:tblGrid>
      <w:tr w:rsidR="00207188" w:rsidRPr="007A7EA3" w:rsidTr="00D0252E">
        <w:trPr>
          <w:gridAfter w:val="1"/>
          <w:wAfter w:w="6" w:type="dxa"/>
          <w:trHeight w:val="1155"/>
        </w:trPr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207188" w:rsidRPr="007A7EA3" w:rsidRDefault="00207188" w:rsidP="009B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Номера таблиц (норм)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07188" w:rsidRPr="007A7EA3" w:rsidRDefault="00207188" w:rsidP="009B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вспомогательных материалов от стоимости материалов, учтенных в нормативах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07188" w:rsidRPr="007A7EA3" w:rsidRDefault="00207188" w:rsidP="009B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транспортных расходов, включая затраты на хранение, от стоимости вспомогательных материалов</w:t>
            </w:r>
          </w:p>
        </w:tc>
      </w:tr>
      <w:tr w:rsidR="00207188" w:rsidRPr="007A7EA3" w:rsidTr="00D0252E">
        <w:trPr>
          <w:gridAfter w:val="1"/>
          <w:wAfter w:w="6" w:type="dxa"/>
          <w:trHeight w:val="73"/>
        </w:trPr>
        <w:tc>
          <w:tcPr>
            <w:tcW w:w="5103" w:type="dxa"/>
            <w:shd w:val="clear" w:color="auto" w:fill="auto"/>
            <w:noWrap/>
            <w:vAlign w:val="center"/>
          </w:tcPr>
          <w:p w:rsidR="00207188" w:rsidRPr="007A7EA3" w:rsidRDefault="00207188" w:rsidP="009B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7188" w:rsidRPr="007A7EA3" w:rsidRDefault="00207188" w:rsidP="009B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7188" w:rsidRPr="007A7EA3" w:rsidRDefault="00207188" w:rsidP="009B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4B59FF" w:rsidRPr="007D2B56" w:rsidTr="00D0252E">
        <w:trPr>
          <w:trHeight w:val="73"/>
        </w:trPr>
        <w:tc>
          <w:tcPr>
            <w:tcW w:w="5103" w:type="dxa"/>
            <w:shd w:val="clear" w:color="auto" w:fill="auto"/>
            <w:vAlign w:val="center"/>
            <w:hideMark/>
          </w:tcPr>
          <w:p w:rsidR="004B59FF" w:rsidRPr="007D2B56" w:rsidRDefault="004B59FF" w:rsidP="007D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7-15 (22,27,32)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4B59FF" w:rsidRPr="007D2B56" w:rsidRDefault="004B59FF" w:rsidP="007D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7.5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:rsidR="004B59FF" w:rsidRPr="007D2B56" w:rsidRDefault="004B59FF" w:rsidP="007D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6.6</w:t>
            </w:r>
          </w:p>
        </w:tc>
      </w:tr>
      <w:tr w:rsidR="004B59FF" w:rsidRPr="007D2B56" w:rsidTr="00D0252E">
        <w:trPr>
          <w:trHeight w:val="283"/>
        </w:trPr>
        <w:tc>
          <w:tcPr>
            <w:tcW w:w="5103" w:type="dxa"/>
            <w:shd w:val="clear" w:color="auto" w:fill="auto"/>
            <w:vAlign w:val="center"/>
            <w:hideMark/>
          </w:tcPr>
          <w:p w:rsidR="004B59FF" w:rsidRPr="007D2B56" w:rsidRDefault="004B59FF" w:rsidP="00D02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7-1 (15), 7-9 (4,5), 7-13 (12), 7-15 (2,9,16), 7-23 (1), </w:t>
            </w:r>
            <w:bookmarkStart w:id="1" w:name="_GoBack"/>
            <w:bookmarkEnd w:id="1"/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7-37 (1), 7-40 (2), 7-50 (5,8,9), 7-54 (1)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4B59FF" w:rsidRPr="007D2B56" w:rsidRDefault="004B59FF" w:rsidP="007D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:rsidR="004B59FF" w:rsidRPr="007D2B56" w:rsidRDefault="004B59FF" w:rsidP="007D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9.7</w:t>
            </w:r>
          </w:p>
        </w:tc>
      </w:tr>
      <w:tr w:rsidR="004B59FF" w:rsidRPr="007D2B56" w:rsidTr="00D0252E">
        <w:trPr>
          <w:trHeight w:val="138"/>
        </w:trPr>
        <w:tc>
          <w:tcPr>
            <w:tcW w:w="5103" w:type="dxa"/>
            <w:shd w:val="clear" w:color="auto" w:fill="auto"/>
            <w:vAlign w:val="center"/>
            <w:hideMark/>
          </w:tcPr>
          <w:p w:rsidR="004B59FF" w:rsidRPr="007D2B56" w:rsidRDefault="004B59FF" w:rsidP="007D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7-1 (16), 7-9 (1,2,3), 7-35 (2)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4B59FF" w:rsidRPr="007D2B56" w:rsidRDefault="004B59FF" w:rsidP="007D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8.5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:rsidR="004B59FF" w:rsidRPr="007D2B56" w:rsidRDefault="004B59FF" w:rsidP="007D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9.7</w:t>
            </w:r>
          </w:p>
        </w:tc>
      </w:tr>
      <w:tr w:rsidR="004B59FF" w:rsidRPr="007D2B56" w:rsidTr="00D0252E">
        <w:trPr>
          <w:trHeight w:val="73"/>
        </w:trPr>
        <w:tc>
          <w:tcPr>
            <w:tcW w:w="5103" w:type="dxa"/>
            <w:shd w:val="clear" w:color="auto" w:fill="auto"/>
            <w:vAlign w:val="center"/>
            <w:hideMark/>
          </w:tcPr>
          <w:p w:rsidR="004B59FF" w:rsidRPr="007D2B56" w:rsidRDefault="004B59FF" w:rsidP="007D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7-52 (5)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4B59FF" w:rsidRPr="007D2B56" w:rsidRDefault="004B59FF" w:rsidP="007D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:rsidR="004B59FF" w:rsidRPr="007D2B56" w:rsidRDefault="004B59FF" w:rsidP="007D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10.9</w:t>
            </w:r>
          </w:p>
        </w:tc>
      </w:tr>
      <w:tr w:rsidR="007D2B56" w:rsidRPr="007D2B56" w:rsidTr="00D0252E">
        <w:trPr>
          <w:trHeight w:val="73"/>
        </w:trPr>
        <w:tc>
          <w:tcPr>
            <w:tcW w:w="5103" w:type="dxa"/>
            <w:shd w:val="clear" w:color="auto" w:fill="auto"/>
            <w:vAlign w:val="center"/>
            <w:hideMark/>
          </w:tcPr>
          <w:p w:rsidR="007D2B56" w:rsidRPr="007D2B56" w:rsidRDefault="007D2B56" w:rsidP="007D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7-50 (6)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D2B56" w:rsidRPr="007D2B56" w:rsidRDefault="007D2B56" w:rsidP="007D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9.8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:rsidR="007D2B56" w:rsidRPr="007D2B56" w:rsidRDefault="007D2B56" w:rsidP="007D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B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9.7</w:t>
            </w:r>
          </w:p>
        </w:tc>
      </w:tr>
    </w:tbl>
    <w:p w:rsidR="008E7375" w:rsidRPr="00D2240D" w:rsidRDefault="00207188" w:rsidP="008E7375">
      <w:pPr>
        <w:pStyle w:val="numheader"/>
        <w:spacing w:after="0"/>
        <w:ind w:firstLine="567"/>
        <w:jc w:val="both"/>
        <w:rPr>
          <w:bCs w:val="0"/>
        </w:rPr>
      </w:pPr>
      <w:r w:rsidRPr="00207188">
        <w:rPr>
          <w:bCs w:val="0"/>
        </w:rPr>
        <w:t>Затраты на эксплуатацию вспомогательных машин и механизмов учитывают затраты на эксплуатацию следующих машин и механизмов (за исключением нормативов, в которых они учтены в составе нормативов расхода ресурсов в натуральном выражении)</w:t>
      </w:r>
      <w:r w:rsidR="008E7375" w:rsidRPr="00D2240D">
        <w:rPr>
          <w:bCs w:val="0"/>
        </w:rPr>
        <w:t xml:space="preserve">: </w:t>
      </w:r>
      <w:r w:rsidR="008E7375" w:rsidRPr="008E7375">
        <w:rPr>
          <w:bCs w:val="0"/>
        </w:rPr>
        <w:t>вибраторы</w:t>
      </w:r>
      <w:r w:rsidR="008E7375">
        <w:rPr>
          <w:bCs w:val="0"/>
        </w:rPr>
        <w:t xml:space="preserve">, </w:t>
      </w:r>
      <w:r w:rsidR="008E7375" w:rsidRPr="008E7375">
        <w:rPr>
          <w:bCs w:val="0"/>
        </w:rPr>
        <w:t>дрели</w:t>
      </w:r>
      <w:r w:rsidR="008E7375">
        <w:rPr>
          <w:bCs w:val="0"/>
        </w:rPr>
        <w:t xml:space="preserve">, </w:t>
      </w:r>
      <w:r w:rsidR="008E7375" w:rsidRPr="008E7375">
        <w:rPr>
          <w:bCs w:val="0"/>
        </w:rPr>
        <w:t>машины шлифовальные</w:t>
      </w:r>
      <w:r w:rsidR="008E7375">
        <w:rPr>
          <w:bCs w:val="0"/>
        </w:rPr>
        <w:t xml:space="preserve">, </w:t>
      </w:r>
      <w:r w:rsidR="008E7375" w:rsidRPr="008E7375">
        <w:rPr>
          <w:bCs w:val="0"/>
        </w:rPr>
        <w:t>смесители-перегружатели</w:t>
      </w:r>
      <w:r w:rsidR="008E7375">
        <w:rPr>
          <w:bCs w:val="0"/>
        </w:rPr>
        <w:t xml:space="preserve">, </w:t>
      </w:r>
      <w:r w:rsidR="008E7375" w:rsidRPr="008E7375">
        <w:rPr>
          <w:bCs w:val="0"/>
        </w:rPr>
        <w:t>средства малой механизации</w:t>
      </w:r>
      <w:r w:rsidR="008E7375">
        <w:rPr>
          <w:bCs w:val="0"/>
        </w:rPr>
        <w:t>, а</w:t>
      </w:r>
      <w:r w:rsidR="008E7375" w:rsidRPr="008E7375">
        <w:rPr>
          <w:bCs w:val="0"/>
        </w:rPr>
        <w:t>ппараты для газовой сварки и резки</w:t>
      </w:r>
      <w:r w:rsidR="008E7375">
        <w:rPr>
          <w:bCs w:val="0"/>
        </w:rPr>
        <w:t xml:space="preserve">, </w:t>
      </w:r>
      <w:r w:rsidR="008E7375" w:rsidRPr="008E7375">
        <w:rPr>
          <w:bCs w:val="0"/>
        </w:rPr>
        <w:t>установки для сварки</w:t>
      </w:r>
      <w:r w:rsidR="008E7375">
        <w:rPr>
          <w:bCs w:val="0"/>
        </w:rPr>
        <w:t xml:space="preserve">, </w:t>
      </w:r>
      <w:r w:rsidR="008E7375" w:rsidRPr="008E7375">
        <w:rPr>
          <w:bCs w:val="0"/>
        </w:rPr>
        <w:t>экскаваторы</w:t>
      </w:r>
      <w:r w:rsidR="008E7375">
        <w:rPr>
          <w:bCs w:val="0"/>
        </w:rPr>
        <w:t xml:space="preserve">, </w:t>
      </w:r>
      <w:r w:rsidR="008E7375" w:rsidRPr="008E7375">
        <w:rPr>
          <w:bCs w:val="0"/>
        </w:rPr>
        <w:t>ямокопатели</w:t>
      </w:r>
      <w:r w:rsidR="008E7375" w:rsidRPr="00D2240D">
        <w:rPr>
          <w:bCs w:val="0"/>
        </w:rPr>
        <w:t xml:space="preserve"> и др.</w:t>
      </w:r>
    </w:p>
    <w:p w:rsidR="007D2B56" w:rsidRPr="008E7375" w:rsidRDefault="00207188" w:rsidP="008E7375">
      <w:pPr>
        <w:pStyle w:val="aa"/>
        <w:ind w:firstLine="720"/>
        <w:jc w:val="both"/>
        <w:rPr>
          <w:rFonts w:ascii="Times New Roman" w:eastAsiaTheme="minorEastAsia" w:hAnsi="Times New Roman"/>
          <w:b/>
          <w:sz w:val="24"/>
          <w:szCs w:val="24"/>
          <w:lang w:val="ru-RU" w:eastAsia="ru-RU"/>
        </w:rPr>
      </w:pPr>
      <w:r w:rsidRPr="00207188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Затраты на вспомогательные материалы учитывают затраты на следующие материалы (за исключением нормативов, в которых они учтены в составе нормативов расхода ресурсов в натуральном выражении и (или) предусмотрены, как материалы по проекту)</w:t>
      </w:r>
      <w:r w:rsidR="008E7375" w:rsidRP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: ацетилен технический</w:t>
      </w:r>
      <w:r w:rsid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, </w:t>
      </w:r>
      <w:r w:rsidR="008E7375" w:rsidRP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болты</w:t>
      </w:r>
      <w:r w:rsid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, </w:t>
      </w:r>
      <w:r w:rsidR="008E7375" w:rsidRP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бруски</w:t>
      </w:r>
      <w:r w:rsid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, </w:t>
      </w:r>
      <w:r w:rsidR="008E7375" w:rsidRP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ветошь</w:t>
      </w:r>
      <w:r w:rsid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, винты, </w:t>
      </w:r>
      <w:r w:rsidR="008E7375" w:rsidRP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вода</w:t>
      </w:r>
      <w:r w:rsid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, </w:t>
      </w:r>
      <w:r w:rsidR="008E7375" w:rsidRP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гайки</w:t>
      </w:r>
      <w:r w:rsid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, </w:t>
      </w:r>
      <w:r w:rsidR="008E7375" w:rsidRP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гвозди</w:t>
      </w:r>
      <w:r w:rsid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, </w:t>
      </w:r>
      <w:r w:rsidR="008E7375" w:rsidRP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грунтовка</w:t>
      </w:r>
      <w:r w:rsid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, </w:t>
      </w:r>
      <w:r w:rsidR="008E7375" w:rsidRP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доски</w:t>
      </w:r>
      <w:r w:rsid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, </w:t>
      </w:r>
      <w:r w:rsidR="008E7375" w:rsidRP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дюбель-гвозди</w:t>
      </w:r>
      <w:r w:rsid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, </w:t>
      </w:r>
      <w:r w:rsidR="008E7375" w:rsidRP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каболка</w:t>
      </w:r>
      <w:r w:rsid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, </w:t>
      </w:r>
      <w:r w:rsidR="008E7375" w:rsidRP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кирпичи</w:t>
      </w:r>
      <w:r w:rsid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, кислород технический, </w:t>
      </w:r>
      <w:r w:rsidR="008E7375" w:rsidRP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клей</w:t>
      </w:r>
      <w:r w:rsid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, </w:t>
      </w:r>
      <w:r w:rsidR="008E7375" w:rsidRP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круги отрезные</w:t>
      </w:r>
      <w:r w:rsid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, </w:t>
      </w:r>
      <w:r w:rsidR="008E7375" w:rsidRP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мыло</w:t>
      </w:r>
      <w:r w:rsid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, </w:t>
      </w:r>
      <w:r w:rsidR="008E7375" w:rsidRP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натрий фтористый технический</w:t>
      </w:r>
      <w:r w:rsid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, </w:t>
      </w:r>
      <w:r w:rsidR="008E7375" w:rsidRP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пакля</w:t>
      </w:r>
      <w:r w:rsid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, </w:t>
      </w:r>
      <w:r w:rsidR="008E7375" w:rsidRP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песок</w:t>
      </w:r>
      <w:r w:rsid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, </w:t>
      </w:r>
      <w:r w:rsidR="008E7375" w:rsidRP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петли накладные</w:t>
      </w:r>
      <w:r w:rsid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, </w:t>
      </w:r>
      <w:r w:rsidR="008E7375" w:rsidRP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проволока для сварки</w:t>
      </w:r>
      <w:r w:rsid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, </w:t>
      </w:r>
      <w:r w:rsidR="008E7375" w:rsidRP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проволока стальная</w:t>
      </w:r>
      <w:r w:rsid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, </w:t>
      </w:r>
      <w:r w:rsidR="008E7375" w:rsidRP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растворы</w:t>
      </w:r>
      <w:r w:rsid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, </w:t>
      </w:r>
      <w:r w:rsidR="008E7375" w:rsidRP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рубероид</w:t>
      </w:r>
      <w:r w:rsid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, </w:t>
      </w:r>
      <w:r w:rsidR="008E7375" w:rsidRP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саморезы</w:t>
      </w:r>
      <w:r w:rsid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, </w:t>
      </w:r>
      <w:r w:rsidR="008E7375" w:rsidRP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сетка металлическая</w:t>
      </w:r>
      <w:r w:rsid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, </w:t>
      </w:r>
      <w:r w:rsidR="008E7375" w:rsidRP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скобы</w:t>
      </w:r>
      <w:r w:rsid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, </w:t>
      </w:r>
      <w:r w:rsidR="008E7375" w:rsidRP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смазка</w:t>
      </w:r>
      <w:r w:rsid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, </w:t>
      </w:r>
      <w:r w:rsidR="008E7375" w:rsidRP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смеси песчано-гравийные</w:t>
      </w:r>
      <w:r w:rsid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, </w:t>
      </w:r>
      <w:r w:rsidR="008E7375" w:rsidRP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смесь пропана и бутана технических</w:t>
      </w:r>
      <w:r w:rsid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, </w:t>
      </w:r>
      <w:r w:rsidR="008E7375" w:rsidRP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уайт-спирит</w:t>
      </w:r>
      <w:r w:rsid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, </w:t>
      </w:r>
      <w:r w:rsidR="008E7375" w:rsidRP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шайбы</w:t>
      </w:r>
      <w:r w:rsid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, </w:t>
      </w:r>
      <w:r w:rsidR="008E7375" w:rsidRP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шкурка шлифовальная</w:t>
      </w:r>
      <w:r w:rsid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, </w:t>
      </w:r>
      <w:r w:rsidR="008E7375" w:rsidRP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шпатлевка</w:t>
      </w:r>
      <w:r w:rsid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, </w:t>
      </w:r>
      <w:r w:rsidR="008E7375" w:rsidRP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шурупы</w:t>
      </w:r>
      <w:r w:rsid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, </w:t>
      </w:r>
      <w:r w:rsidR="008E7375" w:rsidRP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щиты из досок</w:t>
      </w:r>
      <w:r w:rsid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, </w:t>
      </w:r>
      <w:r w:rsidR="008E7375" w:rsidRPr="008E7375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электроды и др.</w:t>
      </w:r>
    </w:p>
    <w:p w:rsidR="00FF0D8A" w:rsidRDefault="00FF0D8A">
      <w:pPr>
        <w:pStyle w:val="numheader"/>
        <w:rPr>
          <w:sz w:val="28"/>
          <w:szCs w:val="28"/>
        </w:rPr>
      </w:pPr>
    </w:p>
    <w:p w:rsidR="00052D4E" w:rsidRPr="00F358A2" w:rsidRDefault="00052D4E">
      <w:pPr>
        <w:pStyle w:val="numheader"/>
        <w:rPr>
          <w:sz w:val="28"/>
          <w:szCs w:val="28"/>
        </w:rPr>
      </w:pPr>
      <w:r w:rsidRPr="00F358A2">
        <w:rPr>
          <w:sz w:val="28"/>
          <w:szCs w:val="28"/>
        </w:rPr>
        <w:t>2. ПРАВИЛА ОПРЕДЕЛЕНИЯ ОБЪЕМОВ РАБОТ</w:t>
      </w:r>
    </w:p>
    <w:p w:rsidR="00052D4E" w:rsidRPr="00F358A2" w:rsidRDefault="00052D4E">
      <w:pPr>
        <w:pStyle w:val="underpoint"/>
        <w:rPr>
          <w:b/>
        </w:rPr>
      </w:pPr>
      <w:r w:rsidRPr="00F358A2">
        <w:rPr>
          <w:b/>
        </w:rPr>
        <w:t>2.1. Площадь сборных конструкций с единицей измерения 1 м</w:t>
      </w:r>
      <w:r w:rsidRPr="00F358A2">
        <w:rPr>
          <w:b/>
          <w:vertAlign w:val="superscript"/>
        </w:rPr>
        <w:t>2</w:t>
      </w:r>
      <w:r w:rsidRPr="00F358A2">
        <w:rPr>
          <w:b/>
        </w:rPr>
        <w:t xml:space="preserve"> определяется по наружному обводу без вычета площади проемов.</w:t>
      </w:r>
    </w:p>
    <w:p w:rsidR="00052D4E" w:rsidRPr="00F358A2" w:rsidRDefault="00052D4E">
      <w:pPr>
        <w:pStyle w:val="newncpi"/>
        <w:rPr>
          <w:b/>
        </w:rPr>
      </w:pPr>
      <w:r w:rsidRPr="00F358A2">
        <w:rPr>
          <w:b/>
        </w:rPr>
        <w:t>Площадь застройки следует определять только для частей зданий высотой 25 м и более в соответствии со строительными нормами, регламентирующими правила определения площади застройки.</w:t>
      </w:r>
    </w:p>
    <w:p w:rsidR="00052D4E" w:rsidRDefault="00052D4E">
      <w:pPr>
        <w:pStyle w:val="underpoint"/>
        <w:rPr>
          <w:b/>
        </w:rPr>
      </w:pPr>
      <w:r w:rsidRPr="00F358A2">
        <w:rPr>
          <w:b/>
        </w:rPr>
        <w:t>2.2. Высота здания определяется как разность между отметкой верха плит покрытий и отметками площадки, на которой работает кран (на гусеничном или пневмоколесном ходу), или головки рельсов крановых путей (при башенных кранах). Высота здания принимается с точностью до 1 м (неполные 0,5 м не учитываются).</w:t>
      </w:r>
    </w:p>
    <w:p w:rsidR="00052D4E" w:rsidRPr="00F358A2" w:rsidRDefault="00052D4E">
      <w:pPr>
        <w:pStyle w:val="comment"/>
        <w:rPr>
          <w:b/>
          <w:sz w:val="24"/>
          <w:szCs w:val="24"/>
        </w:rPr>
      </w:pPr>
      <w:r w:rsidRPr="00F358A2">
        <w:rPr>
          <w:b/>
          <w:sz w:val="24"/>
          <w:szCs w:val="24"/>
        </w:rPr>
        <w:t>Примечания:</w:t>
      </w:r>
    </w:p>
    <w:p w:rsidR="00052D4E" w:rsidRPr="00F358A2" w:rsidRDefault="00052D4E">
      <w:pPr>
        <w:pStyle w:val="comment"/>
        <w:rPr>
          <w:b/>
          <w:sz w:val="24"/>
          <w:szCs w:val="24"/>
        </w:rPr>
      </w:pPr>
      <w:r w:rsidRPr="00F358A2">
        <w:rPr>
          <w:b/>
          <w:sz w:val="24"/>
          <w:szCs w:val="24"/>
        </w:rPr>
        <w:t>1. Величина возвышающихся над кровлей конструктивных элементов (отдельных вентиляционных шахт, надстроек для выхода на кровлю, брандмауэров, парапетов и др.) при определении высоты здания не учитывается.</w:t>
      </w:r>
    </w:p>
    <w:p w:rsidR="00052D4E" w:rsidRPr="00F358A2" w:rsidRDefault="00052D4E">
      <w:pPr>
        <w:pStyle w:val="comment"/>
        <w:rPr>
          <w:b/>
          <w:sz w:val="24"/>
          <w:szCs w:val="24"/>
        </w:rPr>
      </w:pPr>
      <w:r w:rsidRPr="00F358A2">
        <w:rPr>
          <w:b/>
          <w:sz w:val="24"/>
          <w:szCs w:val="24"/>
        </w:rPr>
        <w:t>2. Отметка площадки для работы кранов и головки рельсов крановых путей принимается по данным проекта организации строительства. При отсутствии таких данных – для кранов на гусеничном или пневмоколесном ходу принимаются отметки горизонтальной планировки, а для башенных кранов – отметки указанной планировки с добавлением 0,3 м.</w:t>
      </w:r>
    </w:p>
    <w:p w:rsidR="00052D4E" w:rsidRPr="00F358A2" w:rsidRDefault="00052D4E" w:rsidP="00207188">
      <w:pPr>
        <w:pStyle w:val="newncpi"/>
        <w:rPr>
          <w:b/>
        </w:rPr>
      </w:pPr>
      <w:r>
        <w:lastRenderedPageBreak/>
        <w:t> </w:t>
      </w:r>
      <w:r w:rsidRPr="00F358A2">
        <w:rPr>
          <w:b/>
        </w:rPr>
        <w:t>2.3. Объем сборных железобетонных конструкций с единицей измерения 1 м</w:t>
      </w:r>
      <w:r w:rsidRPr="00F358A2">
        <w:rPr>
          <w:b/>
          <w:vertAlign w:val="superscript"/>
        </w:rPr>
        <w:t>3</w:t>
      </w:r>
      <w:r w:rsidRPr="00F358A2">
        <w:rPr>
          <w:b/>
        </w:rPr>
        <w:t xml:space="preserve"> определяется по спецификациям к проектной документации объекта строительства.</w:t>
      </w:r>
    </w:p>
    <w:p w:rsidR="00052D4E" w:rsidRPr="00F358A2" w:rsidRDefault="00052D4E">
      <w:pPr>
        <w:pStyle w:val="underpoint"/>
        <w:rPr>
          <w:b/>
        </w:rPr>
      </w:pPr>
      <w:r w:rsidRPr="00F358A2">
        <w:rPr>
          <w:b/>
        </w:rPr>
        <w:t>2.4. Масса стальных накладных изделий, устанавливаемых на стыках колонн многоэтажных производственных зданий, опорных консолей для панелей наружных стен, изделий для подвески конструкций подвесного транспорта, воздуховодов и др. принимается по спецификациям к проектной документации объекта строительства у.</w:t>
      </w:r>
    </w:p>
    <w:p w:rsidR="00052D4E" w:rsidRPr="00F358A2" w:rsidRDefault="00052D4E">
      <w:pPr>
        <w:pStyle w:val="underpoint"/>
        <w:rPr>
          <w:b/>
        </w:rPr>
      </w:pPr>
      <w:r w:rsidRPr="00F358A2">
        <w:rPr>
          <w:b/>
        </w:rPr>
        <w:t>2.5. Площадь стен камер инженерных тепловых сетей следует определять без вычета площадей отверстий для пропуска трубопроводов.</w:t>
      </w:r>
    </w:p>
    <w:p w:rsidR="00052D4E" w:rsidRPr="00F358A2" w:rsidRDefault="00052D4E">
      <w:pPr>
        <w:pStyle w:val="underpoint"/>
        <w:rPr>
          <w:b/>
        </w:rPr>
      </w:pPr>
      <w:r w:rsidRPr="00F358A2">
        <w:rPr>
          <w:b/>
        </w:rPr>
        <w:t>2.6. Объем конструкций конденсационных и зольных полов в зданиях главных корпусов тепловых электростанций, опор сооружений водопровода и канализации определяется как сумма объемов отдельных сборных конструктивных элементов (колонн, балок, стен, плит и т.п.).</w:t>
      </w:r>
    </w:p>
    <w:p w:rsidR="00052D4E" w:rsidRPr="00F358A2" w:rsidRDefault="00052D4E">
      <w:pPr>
        <w:pStyle w:val="underpoint"/>
        <w:rPr>
          <w:b/>
        </w:rPr>
      </w:pPr>
      <w:r w:rsidRPr="00F358A2">
        <w:rPr>
          <w:b/>
        </w:rPr>
        <w:t>2.7. Выполнение работ по установке конструкций в зданиях с перепадами высот следует определять:</w:t>
      </w:r>
    </w:p>
    <w:p w:rsidR="00052D4E" w:rsidRPr="00F358A2" w:rsidRDefault="00052D4E">
      <w:pPr>
        <w:pStyle w:val="point"/>
        <w:rPr>
          <w:b/>
        </w:rPr>
      </w:pPr>
      <w:r w:rsidRPr="00F358A2">
        <w:rPr>
          <w:b/>
        </w:rPr>
        <w:t>1. В одноэтажных зданиях:</w:t>
      </w:r>
    </w:p>
    <w:p w:rsidR="00052D4E" w:rsidRPr="00F358A2" w:rsidRDefault="00052D4E">
      <w:pPr>
        <w:pStyle w:val="newncpi"/>
        <w:rPr>
          <w:b/>
        </w:rPr>
      </w:pPr>
      <w:r w:rsidRPr="00F358A2">
        <w:rPr>
          <w:b/>
        </w:rPr>
        <w:t>а) площадью застройки более 5 тыс. м</w:t>
      </w:r>
      <w:r w:rsidRPr="00F358A2">
        <w:rPr>
          <w:b/>
          <w:vertAlign w:val="superscript"/>
        </w:rPr>
        <w:t>2</w:t>
      </w:r>
      <w:r w:rsidRPr="00F358A2">
        <w:rPr>
          <w:b/>
        </w:rPr>
        <w:t>:</w:t>
      </w:r>
    </w:p>
    <w:p w:rsidR="00052D4E" w:rsidRPr="00F358A2" w:rsidRDefault="00052D4E">
      <w:pPr>
        <w:pStyle w:val="newncpi"/>
        <w:rPr>
          <w:b/>
        </w:rPr>
      </w:pPr>
      <w:r w:rsidRPr="00F358A2">
        <w:rPr>
          <w:b/>
        </w:rPr>
        <w:t>при площади застройки низкой части менее 2 тыс. м</w:t>
      </w:r>
      <w:r w:rsidRPr="00F358A2">
        <w:rPr>
          <w:b/>
          <w:vertAlign w:val="superscript"/>
        </w:rPr>
        <w:t>2</w:t>
      </w:r>
      <w:r w:rsidRPr="00F358A2">
        <w:rPr>
          <w:b/>
        </w:rPr>
        <w:t> – по нормам для высокой части;</w:t>
      </w:r>
    </w:p>
    <w:p w:rsidR="00052D4E" w:rsidRPr="00F358A2" w:rsidRDefault="00052D4E">
      <w:pPr>
        <w:pStyle w:val="newncpi"/>
        <w:rPr>
          <w:b/>
        </w:rPr>
      </w:pPr>
      <w:r w:rsidRPr="00F358A2">
        <w:rPr>
          <w:b/>
        </w:rPr>
        <w:t>при площади застройки низкой части более 2 тыс. м</w:t>
      </w:r>
      <w:r w:rsidRPr="00F358A2">
        <w:rPr>
          <w:b/>
          <w:vertAlign w:val="superscript"/>
        </w:rPr>
        <w:t>2</w:t>
      </w:r>
      <w:r w:rsidRPr="00F358A2">
        <w:rPr>
          <w:b/>
        </w:rPr>
        <w:t> – раздельно для низкой и высокой частей;</w:t>
      </w:r>
    </w:p>
    <w:p w:rsidR="00052D4E" w:rsidRPr="00F358A2" w:rsidRDefault="00052D4E">
      <w:pPr>
        <w:pStyle w:val="newncpi"/>
        <w:rPr>
          <w:b/>
        </w:rPr>
      </w:pPr>
      <w:r w:rsidRPr="00F358A2">
        <w:rPr>
          <w:b/>
        </w:rPr>
        <w:t>б) площадью застройки до 5 тыс. м</w:t>
      </w:r>
      <w:r w:rsidRPr="00F358A2">
        <w:rPr>
          <w:b/>
          <w:vertAlign w:val="superscript"/>
        </w:rPr>
        <w:t>2</w:t>
      </w:r>
      <w:r w:rsidRPr="00F358A2">
        <w:rPr>
          <w:b/>
        </w:rPr>
        <w:t> – по нормам для высокой части.</w:t>
      </w:r>
    </w:p>
    <w:p w:rsidR="00052D4E" w:rsidRPr="00F358A2" w:rsidRDefault="00052D4E">
      <w:pPr>
        <w:pStyle w:val="point"/>
        <w:rPr>
          <w:b/>
        </w:rPr>
      </w:pPr>
      <w:r w:rsidRPr="00F358A2">
        <w:rPr>
          <w:b/>
        </w:rPr>
        <w:t>2. В многоэтажных зданиях:</w:t>
      </w:r>
    </w:p>
    <w:p w:rsidR="00052D4E" w:rsidRPr="00F358A2" w:rsidRDefault="00052D4E">
      <w:pPr>
        <w:pStyle w:val="newncpi"/>
        <w:rPr>
          <w:b/>
        </w:rPr>
      </w:pPr>
      <w:r w:rsidRPr="00F358A2">
        <w:rPr>
          <w:b/>
        </w:rPr>
        <w:t>а) при длине низкой части более 20 м – раздельно для высокой и низкой части;</w:t>
      </w:r>
    </w:p>
    <w:p w:rsidR="00052D4E" w:rsidRPr="00F358A2" w:rsidRDefault="00052D4E">
      <w:pPr>
        <w:pStyle w:val="newncpi"/>
        <w:rPr>
          <w:b/>
        </w:rPr>
      </w:pPr>
      <w:r w:rsidRPr="00F358A2">
        <w:rPr>
          <w:b/>
        </w:rPr>
        <w:t>б) при длине низкой части до 20 м – по нормам для низкой части с заменой характеристики крана на кран для высокой части.</w:t>
      </w:r>
    </w:p>
    <w:p w:rsidR="00052D4E" w:rsidRDefault="00052D4E">
      <w:pPr>
        <w:pStyle w:val="underpoint"/>
        <w:rPr>
          <w:b/>
        </w:rPr>
      </w:pPr>
      <w:r w:rsidRPr="00F358A2">
        <w:rPr>
          <w:b/>
        </w:rPr>
        <w:t>2.8. Площадь сборно-монолитных перекрытий «ДАХ» по нормативам таблицы 7-83 (нормы 1–6) определяется в пределах капитальных стен. Настоящими нормами не учтены объемы работ по бетонированию опорных частей сборно-монолитных перекрытий.</w:t>
      </w:r>
    </w:p>
    <w:p w:rsidR="00F358A2" w:rsidRDefault="00F358A2">
      <w:pPr>
        <w:pStyle w:val="underpoint"/>
        <w:rPr>
          <w:b/>
        </w:rPr>
      </w:pPr>
    </w:p>
    <w:p w:rsidR="00FF0D8A" w:rsidRPr="00F358A2" w:rsidRDefault="00FF0D8A">
      <w:pPr>
        <w:pStyle w:val="underpoint"/>
        <w:rPr>
          <w:b/>
        </w:rPr>
      </w:pPr>
    </w:p>
    <w:p w:rsidR="00052D4E" w:rsidRPr="00F358A2" w:rsidRDefault="00052D4E">
      <w:pPr>
        <w:pStyle w:val="numheader"/>
        <w:rPr>
          <w:sz w:val="28"/>
          <w:szCs w:val="28"/>
        </w:rPr>
      </w:pPr>
      <w:r w:rsidRPr="00F358A2">
        <w:rPr>
          <w:sz w:val="28"/>
          <w:szCs w:val="28"/>
        </w:rPr>
        <w:t>3. КОЭФФИЦИЕНТЫ К НОРМАТИВАМ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5"/>
        <w:gridCol w:w="1201"/>
        <w:gridCol w:w="1205"/>
        <w:gridCol w:w="2103"/>
        <w:gridCol w:w="1497"/>
      </w:tblGrid>
      <w:tr w:rsidR="00052D4E" w:rsidRPr="00F358A2" w:rsidTr="00207188">
        <w:trPr>
          <w:cantSplit/>
          <w:trHeight w:val="240"/>
          <w:tblHeader/>
        </w:trPr>
        <w:tc>
          <w:tcPr>
            <w:tcW w:w="1970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2D4E" w:rsidRPr="00F358A2" w:rsidRDefault="00052D4E">
            <w:pPr>
              <w:pStyle w:val="table10"/>
              <w:jc w:val="center"/>
              <w:rPr>
                <w:b/>
              </w:rPr>
            </w:pPr>
            <w:r w:rsidRPr="00F358A2">
              <w:rPr>
                <w:b/>
              </w:rPr>
              <w:t>Условия применения</w:t>
            </w:r>
          </w:p>
        </w:tc>
        <w:tc>
          <w:tcPr>
            <w:tcW w:w="60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2D4E" w:rsidRPr="00F358A2" w:rsidRDefault="00052D4E">
            <w:pPr>
              <w:pStyle w:val="table10"/>
              <w:jc w:val="center"/>
              <w:rPr>
                <w:b/>
              </w:rPr>
            </w:pPr>
            <w:r w:rsidRPr="00F358A2">
              <w:rPr>
                <w:b/>
              </w:rPr>
              <w:t>Номера таблиц (норм)</w:t>
            </w:r>
          </w:p>
        </w:tc>
        <w:tc>
          <w:tcPr>
            <w:tcW w:w="2424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2D4E" w:rsidRPr="00F358A2" w:rsidRDefault="00052D4E">
            <w:pPr>
              <w:pStyle w:val="table10"/>
              <w:jc w:val="center"/>
              <w:rPr>
                <w:b/>
              </w:rPr>
            </w:pPr>
            <w:r w:rsidRPr="00F358A2">
              <w:rPr>
                <w:b/>
              </w:rPr>
              <w:t>Коэффициенты к</w:t>
            </w:r>
          </w:p>
        </w:tc>
      </w:tr>
      <w:tr w:rsidR="00052D4E" w:rsidRPr="00F358A2" w:rsidTr="00207188">
        <w:trPr>
          <w:cantSplit/>
          <w:trHeight w:val="240"/>
          <w:tblHeader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D4E" w:rsidRPr="00F358A2" w:rsidRDefault="00052D4E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D4E" w:rsidRPr="00F358A2" w:rsidRDefault="00052D4E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2D4E" w:rsidRPr="00F358A2" w:rsidRDefault="00052D4E">
            <w:pPr>
              <w:pStyle w:val="table10"/>
              <w:jc w:val="center"/>
              <w:rPr>
                <w:b/>
              </w:rPr>
            </w:pPr>
            <w:r w:rsidRPr="00F358A2">
              <w:rPr>
                <w:b/>
              </w:rPr>
              <w:t>нормам затрат труда рабочих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2D4E" w:rsidRPr="00F358A2" w:rsidRDefault="00052D4E">
            <w:pPr>
              <w:pStyle w:val="table10"/>
              <w:jc w:val="center"/>
              <w:rPr>
                <w:b/>
              </w:rPr>
            </w:pPr>
            <w:r w:rsidRPr="00F358A2">
              <w:rPr>
                <w:b/>
              </w:rPr>
              <w:t>нормам затрат труда машинистов и нормам времени эксплуатации машин и механизмов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2D4E" w:rsidRPr="00F358A2" w:rsidRDefault="00052D4E">
            <w:pPr>
              <w:pStyle w:val="table10"/>
              <w:jc w:val="center"/>
              <w:rPr>
                <w:b/>
              </w:rPr>
            </w:pPr>
            <w:r w:rsidRPr="00F358A2">
              <w:rPr>
                <w:b/>
              </w:rPr>
              <w:t>нормам расхода материалов, изделий и конструкций</w:t>
            </w:r>
          </w:p>
        </w:tc>
      </w:tr>
      <w:tr w:rsidR="00052D4E" w:rsidRPr="00F358A2" w:rsidTr="00FC5684">
        <w:trPr>
          <w:cantSplit/>
          <w:trHeight w:val="240"/>
        </w:trPr>
        <w:tc>
          <w:tcPr>
            <w:tcW w:w="19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D4E" w:rsidRPr="00F358A2" w:rsidRDefault="00052D4E">
            <w:pPr>
              <w:pStyle w:val="table10"/>
              <w:rPr>
                <w:b/>
              </w:rPr>
            </w:pPr>
            <w:r w:rsidRPr="00F358A2">
              <w:rPr>
                <w:b/>
              </w:rPr>
              <w:t>3.1. При производстве работ на одноэтажных производственных зданиях высотой свыше 35 м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D4E" w:rsidRPr="00F358A2" w:rsidRDefault="00052D4E">
            <w:pPr>
              <w:pStyle w:val="table10"/>
              <w:jc w:val="center"/>
              <w:rPr>
                <w:b/>
              </w:rPr>
            </w:pPr>
            <w:r w:rsidRPr="00F358A2">
              <w:rPr>
                <w:b/>
              </w:rPr>
              <w:t>7-9 (1–18);</w:t>
            </w:r>
            <w:r w:rsidRPr="00F358A2">
              <w:rPr>
                <w:b/>
              </w:rPr>
              <w:br/>
              <w:t>7-12 (1–38);</w:t>
            </w:r>
            <w:r w:rsidRPr="00F358A2">
              <w:rPr>
                <w:b/>
              </w:rPr>
              <w:br/>
              <w:t>7-13 (1–25);</w:t>
            </w:r>
            <w:r w:rsidRPr="00F358A2">
              <w:rPr>
                <w:b/>
              </w:rPr>
              <w:br/>
              <w:t>7-14 (1–12);</w:t>
            </w:r>
            <w:r w:rsidRPr="00F358A2">
              <w:rPr>
                <w:b/>
              </w:rPr>
              <w:br/>
              <w:t>7-16 (1–20)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D4E" w:rsidRPr="00F358A2" w:rsidRDefault="00052D4E">
            <w:pPr>
              <w:pStyle w:val="table10"/>
              <w:jc w:val="center"/>
              <w:rPr>
                <w:b/>
              </w:rPr>
            </w:pPr>
            <w:r w:rsidRPr="00F358A2">
              <w:rPr>
                <w:b/>
              </w:rPr>
              <w:t>1,15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D4E" w:rsidRPr="00F358A2" w:rsidRDefault="00052D4E">
            <w:pPr>
              <w:pStyle w:val="table10"/>
              <w:jc w:val="center"/>
              <w:rPr>
                <w:b/>
              </w:rPr>
            </w:pPr>
            <w:r w:rsidRPr="00F358A2">
              <w:rPr>
                <w:b/>
              </w:rPr>
              <w:t>1,15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D4E" w:rsidRPr="00F358A2" w:rsidRDefault="00052D4E">
            <w:pPr>
              <w:pStyle w:val="table10"/>
              <w:jc w:val="center"/>
              <w:rPr>
                <w:b/>
              </w:rPr>
            </w:pPr>
            <w:r w:rsidRPr="00F358A2">
              <w:rPr>
                <w:b/>
              </w:rPr>
              <w:t>–</w:t>
            </w:r>
          </w:p>
        </w:tc>
      </w:tr>
      <w:tr w:rsidR="00052D4E" w:rsidRPr="00F358A2" w:rsidTr="00FC5684">
        <w:trPr>
          <w:cantSplit/>
          <w:trHeight w:val="240"/>
        </w:trPr>
        <w:tc>
          <w:tcPr>
            <w:tcW w:w="19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D4E" w:rsidRPr="00F358A2" w:rsidRDefault="00052D4E">
            <w:pPr>
              <w:pStyle w:val="table10"/>
              <w:rPr>
                <w:b/>
              </w:rPr>
            </w:pPr>
            <w:r w:rsidRPr="00F358A2">
              <w:rPr>
                <w:b/>
              </w:rPr>
              <w:t>3.2. При производстве работ на многоэтажных производственных зданиях высотой свыше 57 м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D4E" w:rsidRPr="00F358A2" w:rsidRDefault="00052D4E">
            <w:pPr>
              <w:pStyle w:val="table10"/>
              <w:jc w:val="center"/>
              <w:rPr>
                <w:b/>
              </w:rPr>
            </w:pPr>
            <w:r w:rsidRPr="00F358A2">
              <w:rPr>
                <w:b/>
              </w:rPr>
              <w:t>7-8 (1–17);</w:t>
            </w:r>
            <w:r w:rsidRPr="00F358A2">
              <w:rPr>
                <w:b/>
              </w:rPr>
              <w:br/>
              <w:t>7-10 (1–21);</w:t>
            </w:r>
            <w:r w:rsidRPr="00F358A2">
              <w:rPr>
                <w:b/>
              </w:rPr>
              <w:br/>
              <w:t>7-11 (1–12);</w:t>
            </w:r>
            <w:r w:rsidRPr="00F358A2">
              <w:rPr>
                <w:b/>
              </w:rPr>
              <w:br/>
              <w:t>7-15 (1–36);</w:t>
            </w:r>
            <w:r w:rsidRPr="00F358A2">
              <w:rPr>
                <w:b/>
              </w:rPr>
              <w:br/>
              <w:t>7-17 (1–21);</w:t>
            </w:r>
            <w:r w:rsidRPr="00F358A2">
              <w:rPr>
                <w:b/>
              </w:rPr>
              <w:br/>
              <w:t>7-21 (1–12)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D4E" w:rsidRPr="00F358A2" w:rsidRDefault="00052D4E">
            <w:pPr>
              <w:pStyle w:val="table10"/>
              <w:jc w:val="center"/>
              <w:rPr>
                <w:b/>
              </w:rPr>
            </w:pPr>
            <w:r w:rsidRPr="00F358A2">
              <w:rPr>
                <w:b/>
              </w:rPr>
              <w:t>1,2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D4E" w:rsidRPr="00F358A2" w:rsidRDefault="00052D4E">
            <w:pPr>
              <w:pStyle w:val="table10"/>
              <w:jc w:val="center"/>
              <w:rPr>
                <w:b/>
              </w:rPr>
            </w:pPr>
            <w:r w:rsidRPr="00F358A2">
              <w:rPr>
                <w:b/>
              </w:rPr>
              <w:t>1,2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D4E" w:rsidRPr="00F358A2" w:rsidRDefault="00052D4E">
            <w:pPr>
              <w:pStyle w:val="table10"/>
              <w:jc w:val="center"/>
              <w:rPr>
                <w:b/>
              </w:rPr>
            </w:pPr>
            <w:r w:rsidRPr="00F358A2">
              <w:rPr>
                <w:b/>
              </w:rPr>
              <w:t>–</w:t>
            </w:r>
          </w:p>
        </w:tc>
      </w:tr>
      <w:tr w:rsidR="00052D4E" w:rsidRPr="00F358A2" w:rsidTr="00FC5684">
        <w:trPr>
          <w:cantSplit/>
          <w:trHeight w:val="240"/>
        </w:trPr>
        <w:tc>
          <w:tcPr>
            <w:tcW w:w="19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D4E" w:rsidRPr="00F358A2" w:rsidRDefault="00052D4E">
            <w:pPr>
              <w:pStyle w:val="table10"/>
              <w:rPr>
                <w:b/>
              </w:rPr>
            </w:pPr>
            <w:r w:rsidRPr="00F358A2">
              <w:rPr>
                <w:b/>
              </w:rPr>
              <w:t>3.3. При производстве работ на жилых, общественных зданиях и административно-бытовых зданиях промышленных предприятий высотой свыше 40 м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D4E" w:rsidRPr="00F358A2" w:rsidRDefault="00052D4E">
            <w:pPr>
              <w:pStyle w:val="table10"/>
              <w:jc w:val="center"/>
              <w:rPr>
                <w:b/>
              </w:rPr>
            </w:pPr>
            <w:r w:rsidRPr="00F358A2">
              <w:rPr>
                <w:b/>
              </w:rPr>
              <w:t>7-43 – 7-55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D4E" w:rsidRPr="00F358A2" w:rsidRDefault="00052D4E">
            <w:pPr>
              <w:pStyle w:val="table10"/>
              <w:jc w:val="center"/>
              <w:rPr>
                <w:b/>
              </w:rPr>
            </w:pPr>
            <w:r w:rsidRPr="00F358A2">
              <w:rPr>
                <w:b/>
              </w:rPr>
              <w:t>1,16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D4E" w:rsidRPr="00F358A2" w:rsidRDefault="00052D4E">
            <w:pPr>
              <w:pStyle w:val="table10"/>
              <w:jc w:val="center"/>
              <w:rPr>
                <w:b/>
              </w:rPr>
            </w:pPr>
            <w:r w:rsidRPr="00F358A2">
              <w:rPr>
                <w:b/>
              </w:rPr>
              <w:t>1,16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D4E" w:rsidRPr="00F358A2" w:rsidRDefault="00052D4E">
            <w:pPr>
              <w:pStyle w:val="table10"/>
              <w:jc w:val="center"/>
              <w:rPr>
                <w:b/>
              </w:rPr>
            </w:pPr>
            <w:r w:rsidRPr="00F358A2">
              <w:rPr>
                <w:b/>
              </w:rPr>
              <w:t>–</w:t>
            </w:r>
          </w:p>
        </w:tc>
      </w:tr>
      <w:tr w:rsidR="00052D4E" w:rsidRPr="00F358A2" w:rsidTr="00FC5684">
        <w:trPr>
          <w:cantSplit/>
          <w:trHeight w:val="240"/>
        </w:trPr>
        <w:tc>
          <w:tcPr>
            <w:tcW w:w="19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D4E" w:rsidRPr="00F358A2" w:rsidRDefault="00052D4E">
            <w:pPr>
              <w:pStyle w:val="table10"/>
              <w:rPr>
                <w:b/>
              </w:rPr>
            </w:pPr>
            <w:r w:rsidRPr="00F358A2">
              <w:rPr>
                <w:b/>
              </w:rPr>
              <w:t>3.4. При установке двойных крупнопанельных перегородок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D4E" w:rsidRPr="00F358A2" w:rsidRDefault="00052D4E">
            <w:pPr>
              <w:pStyle w:val="table10"/>
              <w:jc w:val="center"/>
              <w:rPr>
                <w:b/>
              </w:rPr>
            </w:pPr>
            <w:r w:rsidRPr="00F358A2">
              <w:rPr>
                <w:b/>
              </w:rPr>
              <w:t>7-52 (1–5)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D4E" w:rsidRPr="00F358A2" w:rsidRDefault="00052D4E">
            <w:pPr>
              <w:pStyle w:val="table10"/>
              <w:jc w:val="center"/>
              <w:rPr>
                <w:b/>
              </w:rPr>
            </w:pPr>
            <w:r w:rsidRPr="00F358A2">
              <w:rPr>
                <w:b/>
              </w:rPr>
              <w:t>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D4E" w:rsidRPr="00F358A2" w:rsidRDefault="00052D4E">
            <w:pPr>
              <w:pStyle w:val="table10"/>
              <w:jc w:val="center"/>
              <w:rPr>
                <w:b/>
              </w:rPr>
            </w:pPr>
            <w:r w:rsidRPr="00F358A2">
              <w:rPr>
                <w:b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D4E" w:rsidRPr="00F358A2" w:rsidRDefault="00052D4E">
            <w:pPr>
              <w:pStyle w:val="table10"/>
              <w:jc w:val="center"/>
              <w:rPr>
                <w:b/>
              </w:rPr>
            </w:pPr>
            <w:r w:rsidRPr="00F358A2">
              <w:rPr>
                <w:b/>
              </w:rPr>
              <w:t>2</w:t>
            </w:r>
          </w:p>
        </w:tc>
      </w:tr>
      <w:tr w:rsidR="00052D4E" w:rsidRPr="00F358A2" w:rsidTr="00FC5684">
        <w:trPr>
          <w:cantSplit/>
          <w:trHeight w:val="240"/>
        </w:trPr>
        <w:tc>
          <w:tcPr>
            <w:tcW w:w="19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D4E" w:rsidRPr="00F358A2" w:rsidRDefault="00052D4E">
            <w:pPr>
              <w:pStyle w:val="table10"/>
              <w:rPr>
                <w:b/>
              </w:rPr>
            </w:pPr>
            <w:r w:rsidRPr="00F358A2">
              <w:rPr>
                <w:b/>
              </w:rPr>
              <w:lastRenderedPageBreak/>
              <w:t>3.5. При герметизации, уплотнении стыков прокладками в два ряда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D4E" w:rsidRPr="00F358A2" w:rsidRDefault="00052D4E">
            <w:pPr>
              <w:pStyle w:val="table10"/>
              <w:jc w:val="center"/>
              <w:rPr>
                <w:b/>
              </w:rPr>
            </w:pPr>
            <w:r w:rsidRPr="00F358A2">
              <w:rPr>
                <w:b/>
              </w:rPr>
              <w:t>7-57 (1, 19–21)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D4E" w:rsidRPr="00F358A2" w:rsidRDefault="00052D4E">
            <w:pPr>
              <w:pStyle w:val="table10"/>
              <w:jc w:val="center"/>
              <w:rPr>
                <w:b/>
              </w:rPr>
            </w:pPr>
            <w:r w:rsidRPr="00F358A2">
              <w:rPr>
                <w:b/>
              </w:rPr>
              <w:t>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D4E" w:rsidRPr="00F358A2" w:rsidRDefault="00052D4E">
            <w:pPr>
              <w:pStyle w:val="table10"/>
              <w:jc w:val="center"/>
              <w:rPr>
                <w:b/>
              </w:rPr>
            </w:pPr>
            <w:r w:rsidRPr="00F358A2">
              <w:rPr>
                <w:b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D4E" w:rsidRPr="00F358A2" w:rsidRDefault="00052D4E">
            <w:pPr>
              <w:pStyle w:val="table10"/>
              <w:jc w:val="center"/>
              <w:rPr>
                <w:b/>
              </w:rPr>
            </w:pPr>
            <w:r w:rsidRPr="00F358A2">
              <w:rPr>
                <w:b/>
              </w:rPr>
              <w:t>2</w:t>
            </w:r>
          </w:p>
        </w:tc>
      </w:tr>
      <w:tr w:rsidR="00052D4E" w:rsidRPr="00F358A2" w:rsidTr="00FC5684">
        <w:trPr>
          <w:cantSplit/>
          <w:trHeight w:val="240"/>
        </w:trPr>
        <w:tc>
          <w:tcPr>
            <w:tcW w:w="197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D4E" w:rsidRPr="00F358A2" w:rsidRDefault="00052D4E">
            <w:pPr>
              <w:pStyle w:val="table10"/>
              <w:rPr>
                <w:b/>
              </w:rPr>
            </w:pPr>
            <w:r w:rsidRPr="00F358A2">
              <w:rPr>
                <w:b/>
              </w:rPr>
              <w:t>3.6. При устройстве двухстороннего дренажа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D4E" w:rsidRPr="00F358A2" w:rsidRDefault="00052D4E">
            <w:pPr>
              <w:pStyle w:val="table10"/>
              <w:jc w:val="center"/>
              <w:rPr>
                <w:b/>
              </w:rPr>
            </w:pPr>
            <w:r w:rsidRPr="00F358A2">
              <w:rPr>
                <w:b/>
              </w:rPr>
              <w:t>7-63 (1–3)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D4E" w:rsidRPr="00F358A2" w:rsidRDefault="00052D4E">
            <w:pPr>
              <w:pStyle w:val="table10"/>
              <w:jc w:val="center"/>
              <w:rPr>
                <w:b/>
              </w:rPr>
            </w:pPr>
            <w:r w:rsidRPr="00F358A2">
              <w:rPr>
                <w:b/>
              </w:rPr>
              <w:t>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D4E" w:rsidRPr="00F358A2" w:rsidRDefault="00052D4E">
            <w:pPr>
              <w:pStyle w:val="table10"/>
              <w:jc w:val="center"/>
              <w:rPr>
                <w:b/>
              </w:rPr>
            </w:pPr>
            <w:r w:rsidRPr="00F358A2">
              <w:rPr>
                <w:b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2D4E" w:rsidRPr="00F358A2" w:rsidRDefault="00052D4E">
            <w:pPr>
              <w:pStyle w:val="table10"/>
              <w:jc w:val="center"/>
              <w:rPr>
                <w:b/>
              </w:rPr>
            </w:pPr>
            <w:r w:rsidRPr="00F358A2">
              <w:rPr>
                <w:b/>
              </w:rPr>
              <w:t>2</w:t>
            </w:r>
          </w:p>
        </w:tc>
      </w:tr>
    </w:tbl>
    <w:p w:rsidR="007D1E4E" w:rsidRPr="00E30E2D" w:rsidRDefault="007D1E4E" w:rsidP="007D1E4E">
      <w:pPr>
        <w:pStyle w:val="a8"/>
        <w:rPr>
          <w:rFonts w:ascii="Arial" w:hAnsi="Arial" w:cs="Arial"/>
          <w:b/>
          <w:sz w:val="2"/>
        </w:rPr>
      </w:pPr>
    </w:p>
    <w:p w:rsidR="007D1E4E" w:rsidRPr="001140AF" w:rsidRDefault="007D1E4E" w:rsidP="007D1E4E">
      <w:pPr>
        <w:pStyle w:val="a8"/>
        <w:rPr>
          <w:rFonts w:ascii="Arial" w:hAnsi="Arial" w:cs="Arial"/>
          <w:b/>
          <w:sz w:val="2"/>
        </w:rPr>
      </w:pPr>
    </w:p>
    <w:p w:rsidR="00052D4E" w:rsidRDefault="00052D4E">
      <w:pPr>
        <w:pStyle w:val="newncpi"/>
      </w:pPr>
      <w:r>
        <w:t> </w:t>
      </w:r>
    </w:p>
    <w:p w:rsidR="00052D4E" w:rsidRDefault="00052D4E">
      <w:pPr>
        <w:pStyle w:val="newncpi"/>
      </w:pPr>
      <w:r>
        <w:t> </w:t>
      </w:r>
    </w:p>
    <w:p w:rsidR="000B6D29" w:rsidRDefault="000B6D29"/>
    <w:sectPr w:rsidR="000B6D29" w:rsidSect="004D10BF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567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AF9" w:rsidRDefault="00361AF9" w:rsidP="00361AF9">
      <w:pPr>
        <w:spacing w:after="0" w:line="240" w:lineRule="auto"/>
      </w:pPr>
      <w:r>
        <w:separator/>
      </w:r>
    </w:p>
  </w:endnote>
  <w:endnote w:type="continuationSeparator" w:id="0">
    <w:p w:rsidR="00361AF9" w:rsidRDefault="00361AF9" w:rsidP="00361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9742978"/>
      <w:docPartObj>
        <w:docPartGallery w:val="Page Numbers (Bottom of Page)"/>
        <w:docPartUnique/>
      </w:docPartObj>
    </w:sdtPr>
    <w:sdtEndPr/>
    <w:sdtContent>
      <w:p w:rsidR="00F358A2" w:rsidRDefault="00F358A2" w:rsidP="00361AF9">
        <w:pPr>
          <w:pStyle w:val="a8"/>
        </w:pPr>
      </w:p>
      <w:p w:rsidR="00361AF9" w:rsidRDefault="00361AF9" w:rsidP="00361AF9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52E">
          <w:rPr>
            <w:noProof/>
          </w:rPr>
          <w:t>8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00667"/>
      <w:docPartObj>
        <w:docPartGallery w:val="Page Numbers (Bottom of Page)"/>
        <w:docPartUnique/>
      </w:docPartObj>
    </w:sdtPr>
    <w:sdtEndPr/>
    <w:sdtContent>
      <w:p w:rsidR="00F358A2" w:rsidRDefault="00F358A2">
        <w:pPr>
          <w:pStyle w:val="a8"/>
          <w:jc w:val="right"/>
        </w:pPr>
      </w:p>
      <w:p w:rsidR="00361AF9" w:rsidRDefault="00361AF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52E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AF9" w:rsidRDefault="00361AF9" w:rsidP="00361AF9">
      <w:pPr>
        <w:spacing w:after="0" w:line="240" w:lineRule="auto"/>
      </w:pPr>
      <w:r>
        <w:separator/>
      </w:r>
    </w:p>
  </w:footnote>
  <w:footnote w:type="continuationSeparator" w:id="0">
    <w:p w:rsidR="00361AF9" w:rsidRDefault="00361AF9" w:rsidP="00361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AF9" w:rsidRDefault="00792888" w:rsidP="00361AF9">
    <w:pPr>
      <w:pStyle w:val="a5"/>
    </w:pPr>
    <w:r>
      <w:t>НРР 8.03.107-2026</w:t>
    </w:r>
  </w:p>
  <w:p w:rsidR="00F358A2" w:rsidRDefault="00F358A2" w:rsidP="00361AF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AF9" w:rsidRDefault="00792888" w:rsidP="00361AF9">
    <w:pPr>
      <w:pStyle w:val="a5"/>
      <w:jc w:val="right"/>
    </w:pPr>
    <w:r>
      <w:t>НРР 8.03.107-2026</w:t>
    </w:r>
  </w:p>
  <w:p w:rsidR="00F358A2" w:rsidRDefault="00F358A2" w:rsidP="00361AF9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F873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6AD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867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4A7F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82C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06BA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7E04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6633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D89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505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4E"/>
    <w:rsid w:val="00000FCA"/>
    <w:rsid w:val="00052D4E"/>
    <w:rsid w:val="000B055C"/>
    <w:rsid w:val="000B6D29"/>
    <w:rsid w:val="00207188"/>
    <w:rsid w:val="00253A96"/>
    <w:rsid w:val="002963BD"/>
    <w:rsid w:val="00361AF9"/>
    <w:rsid w:val="003F4BED"/>
    <w:rsid w:val="004B59FF"/>
    <w:rsid w:val="004D10BF"/>
    <w:rsid w:val="005145CD"/>
    <w:rsid w:val="00536C38"/>
    <w:rsid w:val="005534AB"/>
    <w:rsid w:val="005535B2"/>
    <w:rsid w:val="0076088A"/>
    <w:rsid w:val="00792888"/>
    <w:rsid w:val="007A7EA3"/>
    <w:rsid w:val="007D1E4E"/>
    <w:rsid w:val="007D2B56"/>
    <w:rsid w:val="007E1FE4"/>
    <w:rsid w:val="008E7375"/>
    <w:rsid w:val="009A42CA"/>
    <w:rsid w:val="00A41EEB"/>
    <w:rsid w:val="00D0252E"/>
    <w:rsid w:val="00D82619"/>
    <w:rsid w:val="00D92E30"/>
    <w:rsid w:val="00F358A2"/>
    <w:rsid w:val="00FB053F"/>
    <w:rsid w:val="00FC5684"/>
    <w:rsid w:val="00FF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DE8CB3"/>
  <w15:chartTrackingRefBased/>
  <w15:docId w15:val="{4394C285-758D-4083-BED3-E6ABB787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2D4E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052D4E"/>
    <w:rPr>
      <w:color w:val="154C94"/>
      <w:u w:val="single"/>
    </w:rPr>
  </w:style>
  <w:style w:type="paragraph" w:customStyle="1" w:styleId="msonormal0">
    <w:name w:val="msonormal"/>
    <w:basedOn w:val="a"/>
    <w:rsid w:val="00052D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052D4E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052D4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052D4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052D4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052D4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052D4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052D4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052D4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052D4E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052D4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052D4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52D4E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052D4E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052D4E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052D4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052D4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52D4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052D4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052D4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052D4E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052D4E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052D4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052D4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52D4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052D4E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052D4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052D4E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052D4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052D4E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052D4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052D4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052D4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052D4E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052D4E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052D4E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052D4E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052D4E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052D4E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052D4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052D4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052D4E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52D4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52D4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052D4E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052D4E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052D4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052D4E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052D4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052D4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052D4E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52D4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052D4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052D4E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052D4E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052D4E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052D4E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052D4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052D4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052D4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052D4E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052D4E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052D4E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052D4E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052D4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052D4E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052D4E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052D4E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052D4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052D4E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052D4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052D4E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052D4E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052D4E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052D4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052D4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052D4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052D4E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052D4E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052D4E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052D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052D4E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52D4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52D4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52D4E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052D4E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052D4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52D4E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052D4E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052D4E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052D4E"/>
    <w:rPr>
      <w:rFonts w:ascii="Symbol" w:hAnsi="Symbol" w:hint="default"/>
    </w:rPr>
  </w:style>
  <w:style w:type="character" w:customStyle="1" w:styleId="onewind3">
    <w:name w:val="onewind3"/>
    <w:basedOn w:val="a0"/>
    <w:rsid w:val="00052D4E"/>
    <w:rPr>
      <w:rFonts w:ascii="Wingdings 3" w:hAnsi="Wingdings 3" w:hint="default"/>
    </w:rPr>
  </w:style>
  <w:style w:type="character" w:customStyle="1" w:styleId="onewind2">
    <w:name w:val="onewind2"/>
    <w:basedOn w:val="a0"/>
    <w:rsid w:val="00052D4E"/>
    <w:rPr>
      <w:rFonts w:ascii="Wingdings 2" w:hAnsi="Wingdings 2" w:hint="default"/>
    </w:rPr>
  </w:style>
  <w:style w:type="character" w:customStyle="1" w:styleId="onewind">
    <w:name w:val="onewind"/>
    <w:basedOn w:val="a0"/>
    <w:rsid w:val="00052D4E"/>
    <w:rPr>
      <w:rFonts w:ascii="Wingdings" w:hAnsi="Wingdings" w:hint="default"/>
    </w:rPr>
  </w:style>
  <w:style w:type="character" w:customStyle="1" w:styleId="rednoun">
    <w:name w:val="rednoun"/>
    <w:basedOn w:val="a0"/>
    <w:rsid w:val="00052D4E"/>
  </w:style>
  <w:style w:type="character" w:customStyle="1" w:styleId="post">
    <w:name w:val="post"/>
    <w:basedOn w:val="a0"/>
    <w:rsid w:val="00052D4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52D4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052D4E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052D4E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052D4E"/>
    <w:rPr>
      <w:rFonts w:ascii="Arial" w:hAnsi="Arial" w:cs="Arial" w:hint="default"/>
    </w:rPr>
  </w:style>
  <w:style w:type="character" w:customStyle="1" w:styleId="snoskiindex">
    <w:name w:val="snoskiindex"/>
    <w:basedOn w:val="a0"/>
    <w:rsid w:val="00052D4E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052D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rsid w:val="007D1E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7D1E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rsid w:val="007D1E4E"/>
    <w:rPr>
      <w:rFonts w:ascii="Times New Roman" w:hAnsi="Times New Roman"/>
      <w:sz w:val="20"/>
    </w:rPr>
  </w:style>
  <w:style w:type="paragraph" w:styleId="a8">
    <w:name w:val="footer"/>
    <w:basedOn w:val="a"/>
    <w:link w:val="a9"/>
    <w:uiPriority w:val="99"/>
    <w:rsid w:val="007D1E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7D1E4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Plain Text"/>
    <w:basedOn w:val="a"/>
    <w:link w:val="ab"/>
    <w:uiPriority w:val="99"/>
    <w:rsid w:val="007D2B5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b">
    <w:name w:val="Текст Знак"/>
    <w:basedOn w:val="a0"/>
    <w:link w:val="aa"/>
    <w:uiPriority w:val="99"/>
    <w:rsid w:val="007D2B56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1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2947</Words>
  <Characters>16799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Миранович Екатерина Александровна</dc:creator>
  <cp:keywords/>
  <dc:description/>
  <cp:lastModifiedBy>Гордиенко Виктория Олеговна</cp:lastModifiedBy>
  <cp:revision>25</cp:revision>
  <dcterms:created xsi:type="dcterms:W3CDTF">2024-02-13T09:23:00Z</dcterms:created>
  <dcterms:modified xsi:type="dcterms:W3CDTF">2026-02-12T07:41:00Z</dcterms:modified>
</cp:coreProperties>
</file>