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45" w:rsidRPr="00DE5CFD" w:rsidRDefault="00967845">
      <w:pPr>
        <w:pStyle w:val="nonumheader"/>
        <w:rPr>
          <w:sz w:val="28"/>
          <w:szCs w:val="28"/>
        </w:rPr>
      </w:pPr>
      <w:r w:rsidRPr="00DE5CFD">
        <w:rPr>
          <w:sz w:val="28"/>
          <w:szCs w:val="28"/>
        </w:rPr>
        <w:t>НОРМАТИВЫ РАСХОДА РЕСУРСОВ</w:t>
      </w:r>
      <w:r w:rsidRPr="00DE5CFD">
        <w:rPr>
          <w:sz w:val="28"/>
          <w:szCs w:val="28"/>
        </w:rPr>
        <w:br/>
        <w:t>В НАТУРАЛЬНОМ ВЫРАЖЕНИИ</w:t>
      </w:r>
      <w:r w:rsidRPr="00DE5CFD">
        <w:rPr>
          <w:sz w:val="28"/>
          <w:szCs w:val="28"/>
        </w:rPr>
        <w:br/>
        <w:t>на монтаж оборудования</w:t>
      </w:r>
      <w:r w:rsidRPr="00DE5CFD">
        <w:rPr>
          <w:sz w:val="28"/>
          <w:szCs w:val="28"/>
        </w:rPr>
        <w:br/>
        <w:t>Сборник 19</w:t>
      </w:r>
      <w:r w:rsidRPr="00DE5CFD">
        <w:rPr>
          <w:sz w:val="28"/>
          <w:szCs w:val="28"/>
        </w:rPr>
        <w:br/>
      </w:r>
      <w:r w:rsidRPr="00DE5CFD">
        <w:rPr>
          <w:sz w:val="32"/>
          <w:szCs w:val="32"/>
        </w:rPr>
        <w:t>Оборудование предприятий угольной и торфяной промышленности</w:t>
      </w:r>
      <w:r w:rsidRPr="00DE5CFD">
        <w:rPr>
          <w:sz w:val="28"/>
          <w:szCs w:val="28"/>
        </w:rPr>
        <w:t xml:space="preserve"> </w:t>
      </w:r>
    </w:p>
    <w:p w:rsidR="00967845" w:rsidRPr="00DE5CFD" w:rsidRDefault="00967845">
      <w:pPr>
        <w:pStyle w:val="nonumheader"/>
        <w:rPr>
          <w:sz w:val="28"/>
          <w:szCs w:val="28"/>
        </w:rPr>
      </w:pPr>
      <w:r w:rsidRPr="00DE5CFD">
        <w:rPr>
          <w:sz w:val="28"/>
          <w:szCs w:val="28"/>
        </w:rPr>
        <w:t>НАРМАТЫВЫ РАСХОДА РЭСУРСАЎ</w:t>
      </w:r>
      <w:r w:rsidRPr="00DE5CFD">
        <w:rPr>
          <w:sz w:val="28"/>
          <w:szCs w:val="28"/>
        </w:rPr>
        <w:br/>
        <w:t>У НАТУРАЛЬНЫМ ВЫРАЖЭННІ</w:t>
      </w:r>
      <w:r w:rsidRPr="00DE5CFD">
        <w:rPr>
          <w:sz w:val="28"/>
          <w:szCs w:val="28"/>
        </w:rPr>
        <w:br/>
        <w:t xml:space="preserve">на </w:t>
      </w:r>
      <w:proofErr w:type="spellStart"/>
      <w:r w:rsidRPr="00DE5CFD">
        <w:rPr>
          <w:sz w:val="28"/>
          <w:szCs w:val="28"/>
        </w:rPr>
        <w:t>мантаж</w:t>
      </w:r>
      <w:proofErr w:type="spellEnd"/>
      <w:r w:rsidRPr="00DE5CFD">
        <w:rPr>
          <w:sz w:val="28"/>
          <w:szCs w:val="28"/>
        </w:rPr>
        <w:t xml:space="preserve"> </w:t>
      </w:r>
      <w:proofErr w:type="spellStart"/>
      <w:r w:rsidRPr="00DE5CFD">
        <w:rPr>
          <w:sz w:val="28"/>
          <w:szCs w:val="28"/>
        </w:rPr>
        <w:t>абсталявання</w:t>
      </w:r>
      <w:proofErr w:type="spellEnd"/>
      <w:r w:rsidRPr="00DE5CFD">
        <w:rPr>
          <w:sz w:val="28"/>
          <w:szCs w:val="28"/>
        </w:rPr>
        <w:br/>
      </w:r>
      <w:proofErr w:type="spellStart"/>
      <w:r w:rsidRPr="00DE5CFD">
        <w:rPr>
          <w:sz w:val="28"/>
          <w:szCs w:val="28"/>
        </w:rPr>
        <w:t>Зборнік</w:t>
      </w:r>
      <w:proofErr w:type="spellEnd"/>
      <w:r w:rsidRPr="00DE5CFD">
        <w:rPr>
          <w:sz w:val="28"/>
          <w:szCs w:val="28"/>
        </w:rPr>
        <w:t xml:space="preserve"> 19</w:t>
      </w:r>
      <w:r w:rsidRPr="00DE5CFD">
        <w:rPr>
          <w:sz w:val="28"/>
          <w:szCs w:val="28"/>
        </w:rPr>
        <w:br/>
      </w:r>
      <w:proofErr w:type="spellStart"/>
      <w:r w:rsidRPr="00DE5CFD">
        <w:rPr>
          <w:sz w:val="32"/>
          <w:szCs w:val="32"/>
        </w:rPr>
        <w:t>Абсталяванне</w:t>
      </w:r>
      <w:proofErr w:type="spellEnd"/>
      <w:r w:rsidRPr="00DE5CFD">
        <w:rPr>
          <w:sz w:val="32"/>
          <w:szCs w:val="32"/>
        </w:rPr>
        <w:t xml:space="preserve"> </w:t>
      </w:r>
      <w:proofErr w:type="spellStart"/>
      <w:r w:rsidRPr="00DE5CFD">
        <w:rPr>
          <w:sz w:val="32"/>
          <w:szCs w:val="32"/>
        </w:rPr>
        <w:t>прадпрыемстваў</w:t>
      </w:r>
      <w:proofErr w:type="spellEnd"/>
      <w:r w:rsidRPr="00DE5CFD">
        <w:rPr>
          <w:sz w:val="32"/>
          <w:szCs w:val="32"/>
        </w:rPr>
        <w:t xml:space="preserve"> </w:t>
      </w:r>
      <w:proofErr w:type="spellStart"/>
      <w:r w:rsidRPr="00DE5CFD">
        <w:rPr>
          <w:sz w:val="32"/>
          <w:szCs w:val="32"/>
        </w:rPr>
        <w:t>вугальнай</w:t>
      </w:r>
      <w:proofErr w:type="spellEnd"/>
      <w:r w:rsidRPr="00DE5CFD">
        <w:rPr>
          <w:sz w:val="32"/>
          <w:szCs w:val="32"/>
        </w:rPr>
        <w:t xml:space="preserve"> і </w:t>
      </w:r>
      <w:proofErr w:type="spellStart"/>
      <w:r w:rsidRPr="00DE5CFD">
        <w:rPr>
          <w:sz w:val="32"/>
          <w:szCs w:val="32"/>
        </w:rPr>
        <w:t>тарфяной</w:t>
      </w:r>
      <w:proofErr w:type="spellEnd"/>
      <w:r w:rsidRPr="00DE5CFD">
        <w:rPr>
          <w:sz w:val="32"/>
          <w:szCs w:val="32"/>
        </w:rPr>
        <w:t xml:space="preserve"> </w:t>
      </w:r>
      <w:proofErr w:type="spellStart"/>
      <w:r w:rsidRPr="00DE5CFD">
        <w:rPr>
          <w:sz w:val="32"/>
          <w:szCs w:val="32"/>
        </w:rPr>
        <w:t>прамысловасці</w:t>
      </w:r>
      <w:proofErr w:type="spellEnd"/>
    </w:p>
    <w:p w:rsidR="00967845" w:rsidRPr="00DE5CFD" w:rsidRDefault="00967845">
      <w:pPr>
        <w:pStyle w:val="nonumheader"/>
        <w:rPr>
          <w:sz w:val="28"/>
          <w:szCs w:val="28"/>
          <w:lang w:val="en-US"/>
        </w:rPr>
      </w:pPr>
      <w:r w:rsidRPr="00DE5CFD">
        <w:rPr>
          <w:sz w:val="28"/>
          <w:szCs w:val="28"/>
          <w:lang w:val="en-US"/>
        </w:rPr>
        <w:t>SPECIFICATIONS OF THE EXPENSE OF RESOURCES</w:t>
      </w:r>
      <w:r w:rsidRPr="00DE5CFD">
        <w:rPr>
          <w:sz w:val="28"/>
          <w:szCs w:val="28"/>
          <w:lang w:val="en-US"/>
        </w:rPr>
        <w:br/>
        <w:t>IN NATURAL EXPRESSION</w:t>
      </w:r>
      <w:r w:rsidRPr="00DE5CFD">
        <w:rPr>
          <w:sz w:val="28"/>
          <w:szCs w:val="28"/>
          <w:lang w:val="en-US"/>
        </w:rPr>
        <w:br/>
        <w:t>for equipment installation</w:t>
      </w:r>
      <w:r w:rsidRPr="00DE5CFD">
        <w:rPr>
          <w:sz w:val="28"/>
          <w:szCs w:val="28"/>
          <w:lang w:val="en-US"/>
        </w:rPr>
        <w:br/>
        <w:t>Miscellany 19</w:t>
      </w:r>
      <w:r w:rsidRPr="00DE5CFD">
        <w:rPr>
          <w:sz w:val="28"/>
          <w:szCs w:val="28"/>
          <w:lang w:val="en-US"/>
        </w:rPr>
        <w:br/>
        <w:t>Coal and peat industry equipment</w:t>
      </w:r>
    </w:p>
    <w:p w:rsidR="00967845" w:rsidRPr="00DE5CFD" w:rsidRDefault="00967845">
      <w:pPr>
        <w:pStyle w:val="onestring"/>
      </w:pPr>
      <w:r w:rsidRPr="00DE5CFD">
        <w:rPr>
          <w:b/>
          <w:bCs/>
        </w:rPr>
        <w:t>Дата введения 202</w:t>
      </w:r>
      <w:r w:rsidR="00221490" w:rsidRPr="00DE5CFD">
        <w:rPr>
          <w:b/>
          <w:bCs/>
        </w:rPr>
        <w:t>6</w:t>
      </w:r>
      <w:r w:rsidRPr="00DE5CFD">
        <w:rPr>
          <w:b/>
          <w:bCs/>
        </w:rPr>
        <w:t>-05-01</w:t>
      </w:r>
    </w:p>
    <w:p w:rsidR="00ED5842" w:rsidRPr="00DE5CFD" w:rsidRDefault="00ED5842">
      <w:pPr>
        <w:pStyle w:val="nonumheader"/>
      </w:pPr>
    </w:p>
    <w:p w:rsidR="00967845" w:rsidRPr="00DE5CFD" w:rsidRDefault="00967845">
      <w:pPr>
        <w:pStyle w:val="nonumheader"/>
        <w:rPr>
          <w:sz w:val="28"/>
          <w:szCs w:val="28"/>
        </w:rPr>
      </w:pPr>
      <w:r w:rsidRPr="00DE5CFD">
        <w:rPr>
          <w:sz w:val="28"/>
          <w:szCs w:val="28"/>
        </w:rPr>
        <w:t xml:space="preserve">ТЕХНИЧЕСКАЯ ЧАСТЬ </w:t>
      </w:r>
    </w:p>
    <w:p w:rsidR="00221490" w:rsidRPr="00DE5CFD" w:rsidRDefault="00221490" w:rsidP="00221490">
      <w:pPr>
        <w:pStyle w:val="point"/>
        <w:rPr>
          <w:b/>
        </w:rPr>
      </w:pPr>
      <w:r w:rsidRPr="00DE5CFD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DE5CFD">
        <w:rPr>
          <w:b/>
        </w:rPr>
        <w:t>нормы)*</w:t>
      </w:r>
      <w:proofErr w:type="gramEnd"/>
      <w:r w:rsidRPr="00DE5CFD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Настоящий Сборник содержит нормативы по монтажу оборудования при возведении, реконструкции и модернизации предприятий угольной, торфяной и других горнодобывающих отраслей промышленности.</w:t>
      </w:r>
    </w:p>
    <w:p w:rsidR="00221490" w:rsidRPr="00DE5CFD" w:rsidRDefault="00221490" w:rsidP="00221490">
      <w:pPr>
        <w:pStyle w:val="point"/>
        <w:rPr>
          <w:b/>
        </w:rPr>
      </w:pPr>
      <w:r w:rsidRPr="00DE5CFD">
        <w:rPr>
          <w:b/>
        </w:rPr>
        <w:t>2. В нормативах учтено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а) горизонтальное перемещение горного оборудования от приобъектного склада до ствола шахты на расстояние до 1000 м, торфяного оборудования – до 50 м;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б) вертикальное перемещение горного оборудования до 3 м, торфяного оборудования – до 10 м;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в) осмотр, а также предварительную сборку и разборку оборудования перед спуском в шахту;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г) индивидуальное испытание.</w:t>
      </w:r>
    </w:p>
    <w:p w:rsidR="00221490" w:rsidRPr="00DE5CFD" w:rsidRDefault="00221490" w:rsidP="00221490">
      <w:pPr>
        <w:pStyle w:val="snoskiline"/>
      </w:pPr>
      <w:r w:rsidRPr="00DE5CFD">
        <w:t>______________________________</w:t>
      </w:r>
    </w:p>
    <w:p w:rsidR="00221490" w:rsidRPr="00DE5CFD" w:rsidRDefault="00221490" w:rsidP="00221490">
      <w:pPr>
        <w:pStyle w:val="snoski"/>
        <w:spacing w:after="240"/>
      </w:pPr>
      <w:r w:rsidRPr="00DE5CFD">
        <w:t>* По тексту настоящего Сборника при ссылке на конкретный норматив применяется его полная нумерация (например, «Ц19-1-1») или с указанием таблицы норматива – его сокращение (например, «Группа 1 (норма 1)»).</w:t>
      </w:r>
    </w:p>
    <w:p w:rsidR="00221490" w:rsidRPr="00DE5CFD" w:rsidRDefault="00221490" w:rsidP="00221490">
      <w:pPr>
        <w:pStyle w:val="point"/>
        <w:rPr>
          <w:b/>
        </w:rPr>
      </w:pPr>
      <w:r w:rsidRPr="00DE5CFD">
        <w:rPr>
          <w:b/>
        </w:rPr>
        <w:lastRenderedPageBreak/>
        <w:t>3. В нормативах не учтены: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а) спуск оборудования по стволу шахты и перемещение по горным выработкам (включая расходы на погрузку на поверхности (на технологической площадке), в камере обработки грузов в шахте и выгрузку их в месте доставки (на приобъектном складе)), определяемые по соответствующим нормативам Сборника 38 «Нормы на дополнительное перемещение оборудования и материалов сверх предусмотренного в сборниках»;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б) материалы, приведенные в таблице 1;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  <w:bCs/>
        </w:rPr>
        <w:t>Таблица 1 – Перечень материалов, не учтенных в нормативах на монтаж оборудования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9462"/>
      </w:tblGrid>
      <w:tr w:rsidR="00221490" w:rsidRPr="00DE5CFD" w:rsidTr="00221490">
        <w:trPr>
          <w:trHeight w:val="240"/>
        </w:trPr>
        <w:tc>
          <w:tcPr>
            <w:tcW w:w="2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№</w:t>
            </w:r>
            <w:r w:rsidRPr="00DE5CFD">
              <w:rPr>
                <w:b/>
              </w:rPr>
              <w:br/>
              <w:t>п/п</w:t>
            </w:r>
          </w:p>
        </w:tc>
        <w:tc>
          <w:tcPr>
            <w:tcW w:w="47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Наименование материалов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Бревна и брусья под станины, натяжные и приводные станции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Изоляторы участковые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Канаты стальные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 xml:space="preserve">Конструкции металлические для крепления </w:t>
            </w:r>
            <w:proofErr w:type="spellStart"/>
            <w:r w:rsidRPr="00DE5CFD">
              <w:rPr>
                <w:b/>
              </w:rPr>
              <w:t>рассолопроводов</w:t>
            </w:r>
            <w:proofErr w:type="spellEnd"/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Конструкции металлические для крепления коллекторов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Краны и задвижки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Провода троллейные для контактной сети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proofErr w:type="spellStart"/>
            <w:r w:rsidRPr="00DE5CFD">
              <w:rPr>
                <w:b/>
              </w:rPr>
              <w:t>Проводо</w:t>
            </w:r>
            <w:proofErr w:type="spellEnd"/>
            <w:r w:rsidRPr="00DE5CFD">
              <w:rPr>
                <w:b/>
              </w:rPr>
              <w:t xml:space="preserve">- и </w:t>
            </w:r>
            <w:proofErr w:type="spellStart"/>
            <w:r w:rsidRPr="00DE5CFD">
              <w:rPr>
                <w:b/>
              </w:rPr>
              <w:t>изолятородержатели</w:t>
            </w:r>
            <w:proofErr w:type="spellEnd"/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9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Проволока стальная для крепления бревен и брусьев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10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 xml:space="preserve">Сталь круглая для подвески </w:t>
            </w:r>
            <w:proofErr w:type="spellStart"/>
            <w:r w:rsidRPr="00DE5CFD">
              <w:rPr>
                <w:b/>
              </w:rPr>
              <w:t>рассолопроводов</w:t>
            </w:r>
            <w:proofErr w:type="spellEnd"/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Трубы и арматура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Фланцы и болты с гайками для соединения труб коллекторов</w:t>
            </w:r>
          </w:p>
        </w:tc>
      </w:tr>
      <w:tr w:rsidR="00221490" w:rsidRPr="00DE5CFD" w:rsidTr="00221490">
        <w:trPr>
          <w:trHeight w:val="240"/>
        </w:trPr>
        <w:tc>
          <w:tcPr>
            <w:tcW w:w="2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</w:t>
            </w:r>
          </w:p>
        </w:tc>
        <w:tc>
          <w:tcPr>
            <w:tcW w:w="47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rPr>
                <w:b/>
              </w:rPr>
            </w:pPr>
            <w:r w:rsidRPr="00DE5CFD">
              <w:rPr>
                <w:b/>
              </w:rPr>
              <w:t>Шланги гибкие</w:t>
            </w:r>
          </w:p>
        </w:tc>
      </w:tr>
    </w:tbl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в) нормы расхода материалов, необходимых для индивидуального испытания оборудования, приведенные в таблице 2.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  <w:bCs/>
        </w:rPr>
        <w:t>Таблица 2 – Нормы расхода материалов, необходимых для индивидуального испытания оборудования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953"/>
        <w:gridCol w:w="1309"/>
        <w:gridCol w:w="1848"/>
        <w:gridCol w:w="1648"/>
        <w:gridCol w:w="1204"/>
      </w:tblGrid>
      <w:tr w:rsidR="00221490" w:rsidRPr="00DE5CFD" w:rsidTr="00221490">
        <w:trPr>
          <w:trHeight w:val="240"/>
        </w:trPr>
        <w:tc>
          <w:tcPr>
            <w:tcW w:w="98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Номер норматива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 xml:space="preserve">Электроэнергия, </w:t>
            </w:r>
            <w:proofErr w:type="spellStart"/>
            <w:r w:rsidRPr="00DE5CFD">
              <w:rPr>
                <w:b/>
              </w:rPr>
              <w:t>кВт·ч</w:t>
            </w:r>
            <w:proofErr w:type="spellEnd"/>
          </w:p>
        </w:tc>
        <w:tc>
          <w:tcPr>
            <w:tcW w:w="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Воздух сжатый, м</w:t>
            </w:r>
            <w:r w:rsidRPr="00DE5CFD">
              <w:rPr>
                <w:b/>
                <w:vertAlign w:val="superscript"/>
              </w:rPr>
              <w:t>3</w:t>
            </w:r>
          </w:p>
        </w:tc>
        <w:tc>
          <w:tcPr>
            <w:tcW w:w="9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Бензин автомобильный, кг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Масло индустриальное, марка 50, кг</w:t>
            </w:r>
          </w:p>
        </w:tc>
        <w:tc>
          <w:tcPr>
            <w:tcW w:w="6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Топливо моторное, кг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13,8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18,2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12,88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14,88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18,25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43,68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62,53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81,3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Ц19-4-1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19,46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34,2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42,72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373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1 037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Ц19-7-1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17,07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Ц19-7-2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2,05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Ц19-7-3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</w:tbl>
    <w:p w:rsidR="00221490" w:rsidRPr="00DE5CFD" w:rsidRDefault="00221490" w:rsidP="00221490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E5C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953"/>
        <w:gridCol w:w="1309"/>
        <w:gridCol w:w="1848"/>
        <w:gridCol w:w="1648"/>
        <w:gridCol w:w="1204"/>
      </w:tblGrid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Ц19-7-4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4,16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Ц19-8-1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58,9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Ц19-8-2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86,4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Ц19-34-1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21,4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0,22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0,83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1,81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5,11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34,29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Ц19-60-6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46,48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0,84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2,52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3,36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4,2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7,5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Ц19-62-7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Ц19-64-1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1,81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Ц19-64-2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5,11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Ц19-95-1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Ц19-96-1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36 180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Ц19-96-2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36 180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Ц19-97-1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35 672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36 674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96 250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132 914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74 200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65 318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297 360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558 318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66 457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563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Ц19-157-1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52 416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Ц19-195-1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Ц19-197-2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Ц19-198-1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1 300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Ц19-198-2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1 000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Ц19-198-3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1 300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Ц19-200-1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13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86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1 200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16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900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Ц19-201-6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29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Ц19-202-1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Ц19-202-2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Ц19-202-3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Ц19-202-4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Ц19-203-1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Ц19-203-2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Ц19-203-3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32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Ц19-204-1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400</w:t>
            </w:r>
          </w:p>
        </w:tc>
      </w:tr>
    </w:tbl>
    <w:p w:rsidR="00221490" w:rsidRPr="00DE5CFD" w:rsidRDefault="00221490" w:rsidP="00221490">
      <w:pPr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DE5CF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Продолжение таблицы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953"/>
        <w:gridCol w:w="1309"/>
        <w:gridCol w:w="1848"/>
        <w:gridCol w:w="1648"/>
        <w:gridCol w:w="1204"/>
      </w:tblGrid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Ц19-205-1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150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2 300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Ц19-206-1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400</w:t>
            </w:r>
          </w:p>
        </w:tc>
      </w:tr>
      <w:tr w:rsidR="00221490" w:rsidRPr="00DE5CFD" w:rsidTr="00221490">
        <w:trPr>
          <w:trHeight w:val="240"/>
        </w:trPr>
        <w:tc>
          <w:tcPr>
            <w:tcW w:w="9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Ц19-206-2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15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200</w:t>
            </w:r>
          </w:p>
        </w:tc>
      </w:tr>
    </w:tbl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point"/>
        <w:rPr>
          <w:b/>
        </w:rPr>
      </w:pPr>
      <w:r w:rsidRPr="00DE5CFD">
        <w:rPr>
          <w:b/>
        </w:rPr>
        <w:t>4. Продолжительность выполнения шефмонтажа приведена в таблице 3.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  <w:bCs/>
        </w:rPr>
        <w:t>Таблица 3 – Продолжительность выполнения шефмонтажа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1279"/>
        <w:gridCol w:w="907"/>
        <w:gridCol w:w="984"/>
        <w:gridCol w:w="984"/>
        <w:gridCol w:w="984"/>
        <w:gridCol w:w="984"/>
        <w:gridCol w:w="984"/>
        <w:gridCol w:w="1611"/>
      </w:tblGrid>
      <w:tr w:rsidR="00221490" w:rsidRPr="00DE5CFD" w:rsidTr="00221490">
        <w:trPr>
          <w:trHeight w:val="240"/>
        </w:trPr>
        <w:tc>
          <w:tcPr>
            <w:tcW w:w="608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Номер норматива</w:t>
            </w:r>
          </w:p>
        </w:tc>
        <w:tc>
          <w:tcPr>
            <w:tcW w:w="357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Продолжительность работы шефмонтажного персонала, дни</w:t>
            </w:r>
          </w:p>
        </w:tc>
        <w:tc>
          <w:tcPr>
            <w:tcW w:w="81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Количество шефмонтажного персонала, чел.</w:t>
            </w:r>
          </w:p>
        </w:tc>
      </w:tr>
      <w:tr w:rsidR="00221490" w:rsidRPr="00DE5CFD" w:rsidTr="00221490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490" w:rsidRPr="00DE5CFD" w:rsidRDefault="00221490" w:rsidP="00221490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Руководитель бригады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Ведущий инженер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Инженер 1 категории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Инженер 2 категории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Инженер 3 категории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Техник 1 категории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Техник 2 категории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21490" w:rsidRPr="00DE5CFD" w:rsidRDefault="00221490" w:rsidP="00221490">
            <w:pPr>
              <w:rPr>
                <w:rFonts w:eastAsiaTheme="minorEastAsia"/>
                <w:b/>
                <w:sz w:val="20"/>
                <w:szCs w:val="20"/>
              </w:rPr>
            </w:pP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9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Ц19-61-5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Ц19-61-6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Ц19-61-11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Ц19-61-12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116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8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Ц19-140-7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280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350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2700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1800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6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Ц19-141-4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220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440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5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Ц19-141-5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100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</w:tr>
      <w:tr w:rsidR="00221490" w:rsidRPr="00DE5CFD" w:rsidTr="00221490">
        <w:trPr>
          <w:trHeight w:val="240"/>
        </w:trPr>
        <w:tc>
          <w:tcPr>
            <w:tcW w:w="60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Ц19-157-1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214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214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214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–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1490" w:rsidRPr="00DE5CFD" w:rsidRDefault="00221490" w:rsidP="00221490">
            <w:pPr>
              <w:pStyle w:val="table10"/>
              <w:jc w:val="center"/>
              <w:rPr>
                <w:b/>
              </w:rPr>
            </w:pPr>
            <w:r w:rsidRPr="00DE5CFD">
              <w:rPr>
                <w:b/>
              </w:rPr>
              <w:t>3</w:t>
            </w:r>
          </w:p>
        </w:tc>
      </w:tr>
    </w:tbl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5. В нормативах сборника не учтены:</w:t>
      </w:r>
    </w:p>
    <w:p w:rsidR="00DE5CFD" w:rsidRPr="00DE5CFD" w:rsidRDefault="00DE5CFD" w:rsidP="00D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DE5CFD" w:rsidRPr="00DE5CFD" w:rsidRDefault="00DE5CFD" w:rsidP="00D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DE5CFD" w:rsidRPr="00DE5CFD" w:rsidRDefault="00DE5CFD" w:rsidP="00D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5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DE5CFD" w:rsidRPr="00DE5CFD" w:rsidRDefault="00DE5CFD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:rsidR="00221490" w:rsidRPr="00DE5CFD" w:rsidRDefault="00221490" w:rsidP="0022149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lastRenderedPageBreak/>
        <w:t xml:space="preserve">Таблица 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4</w:t>
      </w:r>
      <w:r w:rsidRPr="00DE5CFD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 - </w:t>
      </w:r>
      <w:r w:rsidR="00DE5CFD" w:rsidRPr="00DE5CFD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Нормы затрат на вспомогательные машины и механизмы</w:t>
      </w:r>
    </w:p>
    <w:p w:rsidR="00221490" w:rsidRPr="00DE5CFD" w:rsidRDefault="00221490" w:rsidP="002214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16"/>
          <w:szCs w:val="16"/>
          <w:lang w:val="x-none"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2"/>
        <w:gridCol w:w="2484"/>
        <w:gridCol w:w="2478"/>
      </w:tblGrid>
      <w:tr w:rsidR="00221490" w:rsidRPr="00DE5CFD" w:rsidTr="00221490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DE5CFD"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DE5CFD" w:rsidRPr="00DE5CFD" w:rsidTr="00221490">
        <w:trPr>
          <w:trHeight w:val="255"/>
        </w:trPr>
        <w:tc>
          <w:tcPr>
            <w:tcW w:w="4952" w:type="dxa"/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4" w:type="dxa"/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8" w:type="dxa"/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DE5CFD" w:rsidRPr="00DE5CFD" w:rsidTr="00806F7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 (4,5), 19-8 (3,4), 19-61 (4,5,12), 19-62, 19-102 (1,2,3,4,5,6, 7,8,9), 19-165 (2)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DE5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E5CFD" w:rsidRPr="00DE5CFD" w:rsidTr="00806F7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19-140 (7)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15.3</w:t>
            </w:r>
          </w:p>
        </w:tc>
      </w:tr>
      <w:tr w:rsidR="00DE5CFD" w:rsidRPr="00DE5CFD" w:rsidTr="009D3BD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19-141 (4)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32.9</w:t>
            </w:r>
          </w:p>
        </w:tc>
      </w:tr>
      <w:tr w:rsidR="00DE5CFD" w:rsidRPr="00DE5CFD" w:rsidTr="009D3BD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CFD" w:rsidRPr="00DE5CFD" w:rsidRDefault="00DE5CFD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19-140 (1,2)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CFD" w:rsidRPr="00DE5CFD" w:rsidRDefault="00DE5CFD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46.5</w:t>
            </w:r>
          </w:p>
        </w:tc>
      </w:tr>
      <w:tr w:rsidR="0023015A" w:rsidRPr="00DE5CFD" w:rsidTr="002839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 (2,3), 19-61 (1,2,3,6,7,8,9,10,11), 19-141 (2), 19-197 (2)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839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19-141 (1)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23015A" w:rsidRPr="00DE5CFD" w:rsidTr="002839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19-141 (3,5), 19-157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</w:tr>
      <w:tr w:rsidR="0023015A" w:rsidRPr="00DE5CFD" w:rsidTr="002839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19-140 (6)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</w:tr>
      <w:tr w:rsidR="0023015A" w:rsidRPr="00DE5CFD" w:rsidTr="00283975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19-140 (3,5)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45.2</w:t>
            </w:r>
          </w:p>
        </w:tc>
      </w:tr>
      <w:tr w:rsidR="0023015A" w:rsidRPr="00DE5CFD" w:rsidTr="00095E2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19-2 (2,3), 19-3 (1), 19-4, 19-41, 19-180, 19-195, 19-197 (1), 19-202 (1,4), 19-203 (3)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095E24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19-140 (4)</w:t>
            </w:r>
          </w:p>
        </w:tc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46.6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 (2), 19-8 (1,2), 19-42, 19-96 (2), 19-197 (3), 19-201 (1,6), 19-202 (2,3), 19-203 (1,2)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 (1,4), 19-65, 19-96 (1), 19-198 (2,3), 19-200, 19-201 (2,3,4)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 (1), 19-2 (1), 19-6 (3), 19-198 (1), 19-201 (5)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 (2)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23015A" w:rsidRPr="00DE5CFD" w:rsidTr="0023015A">
        <w:trPr>
          <w:trHeight w:val="25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19-101, 19-204, 19-205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15A" w:rsidRPr="00DE5CFD" w:rsidRDefault="0023015A" w:rsidP="005C3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221490" w:rsidRPr="00DE5CFD" w:rsidRDefault="00221490" w:rsidP="00221490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221490" w:rsidRPr="00DE5CFD" w:rsidRDefault="00221490" w:rsidP="00DE5CF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5 - </w:t>
      </w:r>
      <w:r w:rsidR="00DE5CFD" w:rsidRPr="00DE5CFD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DE5CFD" w:rsidRPr="00DE5CFD" w:rsidRDefault="00DE5CFD" w:rsidP="00DE5C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6"/>
        <w:gridCol w:w="2482"/>
        <w:gridCol w:w="2476"/>
      </w:tblGrid>
      <w:tr w:rsidR="00221490" w:rsidRPr="00DE5CFD" w:rsidTr="00221490">
        <w:trPr>
          <w:trHeight w:val="765"/>
        </w:trPr>
        <w:tc>
          <w:tcPr>
            <w:tcW w:w="4956" w:type="dxa"/>
            <w:shd w:val="clear" w:color="auto" w:fill="auto"/>
            <w:noWrap/>
            <w:vAlign w:val="center"/>
            <w:hideMark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2" w:type="dxa"/>
            <w:shd w:val="clear" w:color="auto" w:fill="auto"/>
            <w:vAlign w:val="center"/>
            <w:hideMark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6" w:type="dxa"/>
            <w:shd w:val="clear" w:color="auto" w:fill="auto"/>
            <w:vAlign w:val="center"/>
            <w:hideMark/>
          </w:tcPr>
          <w:p w:rsidR="00221490" w:rsidRPr="00DE5CFD" w:rsidRDefault="00221490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DE5CFD" w:rsidRPr="00DE5CFD" w:rsidTr="00DE5CFD">
        <w:trPr>
          <w:trHeight w:val="255"/>
        </w:trPr>
        <w:tc>
          <w:tcPr>
            <w:tcW w:w="4956" w:type="dxa"/>
            <w:shd w:val="clear" w:color="auto" w:fill="auto"/>
            <w:noWrap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DE5CFD" w:rsidRPr="00DE5CFD" w:rsidRDefault="00DE5CFD" w:rsidP="00221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23015A" w:rsidRPr="00DE5CFD" w:rsidTr="0023015A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19-9, 19-30, 19-31, 19-62 (2,3,4), 19-140 (1,2,5,6,7)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23015A" w:rsidRPr="00DE5CFD" w:rsidTr="00877A4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19-62 (5,6)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7.6</w:t>
            </w:r>
          </w:p>
        </w:tc>
      </w:tr>
      <w:tr w:rsidR="0023015A" w:rsidRPr="00DE5CFD" w:rsidTr="00877A4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19-37 (1,3), 19-61 (4,11), 19-62 (7)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8.4</w:t>
            </w:r>
          </w:p>
        </w:tc>
      </w:tr>
      <w:tr w:rsidR="0023015A" w:rsidRPr="00DE5CFD" w:rsidTr="00877A45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 (1,2,3,4), 19-38 (1,3,5,6,7,8,9,10,11), 19-41, 19-42, 19-61 (1,2,3,9,10,12), 19-62 (1)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23015A" w:rsidRPr="00DE5CFD" w:rsidTr="00BA6313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19-37 (4,5), 19-61 (7)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</w:tr>
      <w:tr w:rsidR="0023015A" w:rsidRPr="00DE5CFD" w:rsidTr="00BA6313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19-61 (8)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8.1</w:t>
            </w:r>
          </w:p>
        </w:tc>
      </w:tr>
      <w:tr w:rsidR="0023015A" w:rsidRPr="00DE5CFD" w:rsidTr="00BA6313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19-61 (5,6)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9.4</w:t>
            </w:r>
          </w:p>
        </w:tc>
      </w:tr>
      <w:tr w:rsidR="0023015A" w:rsidRPr="00DE5CFD" w:rsidTr="00036E68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19-37 (2)</w:t>
            </w:r>
          </w:p>
        </w:tc>
        <w:tc>
          <w:tcPr>
            <w:tcW w:w="2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8.1</w:t>
            </w:r>
          </w:p>
        </w:tc>
      </w:tr>
      <w:tr w:rsidR="0023015A" w:rsidRPr="00DE5CFD" w:rsidTr="00036E68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19-38 (2,4)</w:t>
            </w:r>
          </w:p>
        </w:tc>
        <w:tc>
          <w:tcPr>
            <w:tcW w:w="2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23015A" w:rsidRPr="00DE5CFD" w:rsidTr="0023015A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19-205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  <w:tr w:rsidR="0023015A" w:rsidRPr="00DE5CFD" w:rsidTr="0023015A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19-34, 19-140 (3), 19-157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9.6</w:t>
            </w:r>
          </w:p>
        </w:tc>
      </w:tr>
      <w:tr w:rsidR="0023015A" w:rsidRPr="00DE5CFD" w:rsidTr="0023015A">
        <w:trPr>
          <w:trHeight w:val="255"/>
        </w:trPr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19-32, 19-66, 19-206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5A" w:rsidRPr="00DE5CFD" w:rsidRDefault="0023015A" w:rsidP="00230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E5CF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9.7</w:t>
            </w:r>
          </w:p>
        </w:tc>
      </w:tr>
    </w:tbl>
    <w:p w:rsidR="0023015A" w:rsidRPr="00DE5CFD" w:rsidRDefault="0023015A" w:rsidP="00221490">
      <w:pPr>
        <w:spacing w:after="0"/>
        <w:jc w:val="right"/>
        <w:rPr>
          <w:rFonts w:ascii="Times New Roman" w:eastAsia="Calibri" w:hAnsi="Times New Roman" w:cs="Times New Roman"/>
          <w:b/>
          <w:sz w:val="24"/>
        </w:rPr>
      </w:pPr>
    </w:p>
    <w:p w:rsidR="00221490" w:rsidRPr="00DE5CFD" w:rsidRDefault="00DE5CFD" w:rsidP="002301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Hlk183792895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эксплуатацию вспомогательных машин и механизмов учитывают затраты</w:t>
      </w:r>
      <w:bookmarkEnd w:id="1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эксплуатацию следующих машин и механизмов (за исключением нормативов, в которых они учтены в</w:t>
      </w:r>
      <w:r w:rsidRPr="00DE5CFD">
        <w:t xml:space="preserve"> </w:t>
      </w:r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составе нормативов расхода ресурсов в натуральном выражении):</w:t>
      </w:r>
      <w:r w:rsidR="00221490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втомобили бортовые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ппараты для газовой сварки и резки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омкраты гидравлические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ебедки электрические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сверлильные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ашины шлифовальные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латформы широкой колеи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олуприцепы-тяжеловозы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танки сверлильные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</w:t>
      </w:r>
      <w:r w:rsidR="0023015A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аль электрическая </w:t>
      </w:r>
      <w:r w:rsidR="00221490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221490" w:rsidRPr="00DE5CFD" w:rsidRDefault="00DE5CFD" w:rsidP="002670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183792908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Затраты на вспомогательные материалы учитывают затраты</w:t>
      </w:r>
      <w:bookmarkEnd w:id="2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следующие материалы (за исключением нормативов, в которых они учтены</w:t>
      </w:r>
      <w:bookmarkStart w:id="3" w:name="_Hlk182900180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3"/>
      <w:r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</w:t>
      </w:r>
      <w:r w:rsidR="00221490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ацетилен растворенный технический, ацетон технический, болты, вазелин, гайки, доски обрезные, кислород, кислоты (серная, соляная), коксовая мелочь, круги шлифовальные, лак химически стойкий, лесоматериалы круглые, масло моторное, мастика битумная холодная, мел, олифа </w:t>
      </w:r>
      <w:proofErr w:type="spellStart"/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оксоль</w:t>
      </w:r>
      <w:proofErr w:type="spellEnd"/>
      <w:r w:rsidR="00267098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отвердитель, подкладки для рельсов, портландцемент, проволока стальная, прокат стальной, шайба, эмаль пентафталевая</w:t>
      </w:r>
      <w:r w:rsidR="006A1FEE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1490" w:rsidRPr="00DE5C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др.</w:t>
      </w:r>
    </w:p>
    <w:p w:rsidR="006A1FEE" w:rsidRPr="00DE5CFD" w:rsidRDefault="006A1FEE" w:rsidP="00221490">
      <w:pPr>
        <w:pStyle w:val="newncpi"/>
        <w:rPr>
          <w:b/>
        </w:rPr>
      </w:pPr>
    </w:p>
    <w:p w:rsidR="00221490" w:rsidRPr="00DE5CFD" w:rsidRDefault="00221490" w:rsidP="00221490">
      <w:pPr>
        <w:pStyle w:val="newncpi"/>
        <w:rPr>
          <w:b/>
        </w:rPr>
      </w:pP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ВВОДНЫЕ УКАЗАНИЯ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Отдел 1. Шахтное оборудование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Раздел 1. Оборудование для механизации подготовительных и очистных работ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1.1.1. В нормативах на монтаж ленточных конвейеров учтена стыковка лент. При увеличении длины ленточных конвейеров сверх 600 м, учтенных в нормативах, дополнительная стыковка лент должна определяться по нормативам групп 9, 10.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1.1.2. Нормативы на монтаж ленточных и скребковых конвейеров в наклонных выработках определены с углами наклона до 13 градусов. При монтаже конвейеров в наклонных выработках с углами наклона более 13 градусов к затратам труда рабочих следует применять коэффициент 1,12.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1.1.3. В нормативах группы 10 «Соединение стыков конвейерных лент с четырьмя слоями тканевых прокладок методом холодной вулканизации» не учтены затраты на горизонтальное, вертикальное перемещение, спуск по стволу шахты, перемещение по горным выработкам материальных ресурсов.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Раздел 2. Оборудование для подземного транспорта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1.2.1. В нормативах учтены: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а) нормы расхода электролита калиево-литиевого и дистиллированной воды по нормативам с Ц19-30-1 по Ц19-31-4;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б) монтаж агрегатов для одной клети. При монтаже агрегатов для 2, 3 или 4 клетей нормативы увеличиваются соответственно в 2, 3 или 4 раза по нормативам с Ц19-41-1 по Ц19-42-1.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1.2.2. В нормативе Ц19-34-1 не учтен монтаж кабеля.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Раздел 3. Оборудование шахтных вентиляционных установок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1.3.1. В нормативах группы 61 учтен монтаж шахтных вентиляторов главного проветривания без устройств для реверсирования струи воздуха.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1.3.2. В нормативах группы 62 учтен монтаж вспомогательного оборудования для реверсирования струи воздуха и для вентиляционного канала на одну установку (два вентилятора).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Раздел 5. Горнопроходческое оборудование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1.5.1. В нормативах группы 102 «Коллекторы» учтены: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lastRenderedPageBreak/>
        <w:t>а) изготовление и установка коллектора;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б) установка кранов, задвижек и термометра на коллектор;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в) установка средств крепления для коллектора;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г) гидравлическое испытание коллекторов.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1.5.2. В нормативах на монтаж оборудования не учтен монтаж трубопроводов для подключения сжатого воздуха, определяемый по нормативам Сборника 12 «Технологические трубопроводы».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newncpi0"/>
        <w:jc w:val="center"/>
        <w:rPr>
          <w:b/>
        </w:rPr>
      </w:pPr>
      <w:r w:rsidRPr="00DE5CFD">
        <w:rPr>
          <w:b/>
          <w:bCs/>
        </w:rPr>
        <w:t>Отдел 2. Оборудование для открытых горных разработок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 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2.1. В нормативах учтены: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а) установка преобразовательных агрегатов и электродвигателей;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б) устройство централизованных систем густой и жидкой смазок гидравлических и пневматических систем.</w:t>
      </w:r>
    </w:p>
    <w:p w:rsidR="00221490" w:rsidRPr="00DE5CFD" w:rsidRDefault="00221490" w:rsidP="00221490">
      <w:pPr>
        <w:pStyle w:val="underpoint"/>
        <w:rPr>
          <w:b/>
        </w:rPr>
      </w:pPr>
      <w:r w:rsidRPr="00DE5CFD">
        <w:rPr>
          <w:b/>
        </w:rPr>
        <w:t>2.2. В нормативах не учтены:</w:t>
      </w:r>
    </w:p>
    <w:p w:rsidR="00221490" w:rsidRPr="00DE5CFD" w:rsidRDefault="00221490" w:rsidP="00221490">
      <w:pPr>
        <w:pStyle w:val="newncpi"/>
        <w:rPr>
          <w:b/>
        </w:rPr>
      </w:pPr>
      <w:r w:rsidRPr="00DE5CFD">
        <w:rPr>
          <w:b/>
        </w:rPr>
        <w:t>а) монтаж трансформаторов, электроаппаратуры, КИП и автоматики, определяемый по соответствующим сборникам нормативов расхода ресурсов на монтаж оборудования;</w:t>
      </w:r>
    </w:p>
    <w:p w:rsidR="00221490" w:rsidRPr="00221490" w:rsidRDefault="00221490" w:rsidP="00221490">
      <w:pPr>
        <w:pStyle w:val="newncpi"/>
        <w:rPr>
          <w:b/>
        </w:rPr>
      </w:pPr>
      <w:r w:rsidRPr="00DE5CFD">
        <w:rPr>
          <w:b/>
        </w:rPr>
        <w:t>б) устройство деревянной обивки внутри помещения кабин, определяемое по соответствующему Сборнику нормативов расхода ресурсов.</w:t>
      </w:r>
      <w:bookmarkStart w:id="4" w:name="_GoBack"/>
      <w:bookmarkEnd w:id="4"/>
    </w:p>
    <w:p w:rsidR="00E96630" w:rsidRDefault="00967845">
      <w:pPr>
        <w:pStyle w:val="newncpi"/>
      </w:pPr>
      <w:r>
        <w:t> </w:t>
      </w:r>
      <w:r>
        <w:rPr>
          <w:b/>
          <w:bCs/>
        </w:rPr>
        <w:t> </w:t>
      </w:r>
    </w:p>
    <w:p w:rsidR="00E96630" w:rsidRPr="00E96630" w:rsidRDefault="00E96630" w:rsidP="00E96630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E96630" w:rsidRPr="00E96630" w:rsidRDefault="00E96630" w:rsidP="00E96630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b/>
          <w:sz w:val="2"/>
          <w:szCs w:val="24"/>
          <w:lang w:eastAsia="ru-RU"/>
        </w:rPr>
      </w:pPr>
    </w:p>
    <w:p w:rsidR="00967845" w:rsidRDefault="00967845">
      <w:pPr>
        <w:pStyle w:val="newncpi"/>
      </w:pPr>
    </w:p>
    <w:p w:rsidR="003E3D59" w:rsidRDefault="003E3D59"/>
    <w:sectPr w:rsidR="003E3D59" w:rsidSect="00ED584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6" w:bottom="1134" w:left="14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490" w:rsidRDefault="00221490" w:rsidP="00967845">
      <w:pPr>
        <w:spacing w:after="0" w:line="240" w:lineRule="auto"/>
      </w:pPr>
      <w:r>
        <w:separator/>
      </w:r>
    </w:p>
  </w:endnote>
  <w:endnote w:type="continuationSeparator" w:id="0">
    <w:p w:rsidR="00221490" w:rsidRDefault="00221490" w:rsidP="0096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3098763"/>
      <w:docPartObj>
        <w:docPartGallery w:val="Page Numbers (Bottom of Page)"/>
        <w:docPartUnique/>
      </w:docPartObj>
    </w:sdtPr>
    <w:sdtEndPr/>
    <w:sdtContent>
      <w:p w:rsidR="00221490" w:rsidRDefault="00221490">
        <w:pPr>
          <w:pStyle w:val="a7"/>
        </w:pPr>
      </w:p>
      <w:p w:rsidR="00221490" w:rsidRDefault="0022149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FD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557757"/>
      <w:docPartObj>
        <w:docPartGallery w:val="Page Numbers (Bottom of Page)"/>
        <w:docPartUnique/>
      </w:docPartObj>
    </w:sdtPr>
    <w:sdtEndPr/>
    <w:sdtContent>
      <w:p w:rsidR="00221490" w:rsidRDefault="00221490">
        <w:pPr>
          <w:pStyle w:val="a7"/>
          <w:jc w:val="right"/>
        </w:pPr>
      </w:p>
      <w:p w:rsidR="00221490" w:rsidRDefault="0022149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CFD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490" w:rsidRDefault="00221490" w:rsidP="00967845">
      <w:pPr>
        <w:spacing w:after="0" w:line="240" w:lineRule="auto"/>
      </w:pPr>
      <w:r>
        <w:separator/>
      </w:r>
    </w:p>
  </w:footnote>
  <w:footnote w:type="continuationSeparator" w:id="0">
    <w:p w:rsidR="00221490" w:rsidRDefault="00221490" w:rsidP="0096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90" w:rsidRDefault="00221490" w:rsidP="007B1D0D">
    <w:pPr>
      <w:pStyle w:val="a5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8.03.119-2026</w:t>
    </w:r>
  </w:p>
  <w:p w:rsidR="00221490" w:rsidRPr="00ED5842" w:rsidRDefault="00221490" w:rsidP="007B1D0D">
    <w:pPr>
      <w:pStyle w:val="a5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490" w:rsidRDefault="00221490" w:rsidP="007B1D0D">
    <w:pPr>
      <w:pStyle w:val="a5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НРР 8.03.119-2026</w:t>
    </w:r>
  </w:p>
  <w:p w:rsidR="00221490" w:rsidRPr="00ED5842" w:rsidRDefault="00221490" w:rsidP="007B1D0D">
    <w:pPr>
      <w:pStyle w:val="a5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45"/>
    <w:rsid w:val="00221490"/>
    <w:rsid w:val="0023015A"/>
    <w:rsid w:val="00267098"/>
    <w:rsid w:val="00370AD5"/>
    <w:rsid w:val="003E2CD1"/>
    <w:rsid w:val="003E3D59"/>
    <w:rsid w:val="006A1FEE"/>
    <w:rsid w:val="007B1D0D"/>
    <w:rsid w:val="007C72AD"/>
    <w:rsid w:val="008F581C"/>
    <w:rsid w:val="00967845"/>
    <w:rsid w:val="00DE5CFD"/>
    <w:rsid w:val="00E87C47"/>
    <w:rsid w:val="00E96630"/>
    <w:rsid w:val="00EC6634"/>
    <w:rsid w:val="00ED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F8A120"/>
  <w15:chartTrackingRefBased/>
  <w15:docId w15:val="{3E840DBC-BFA7-49C1-9468-1E71EFF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845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67845"/>
    <w:rPr>
      <w:color w:val="154C94"/>
      <w:u w:val="single"/>
    </w:rPr>
  </w:style>
  <w:style w:type="paragraph" w:customStyle="1" w:styleId="msonormal0">
    <w:name w:val="msonormal"/>
    <w:basedOn w:val="a"/>
    <w:rsid w:val="009678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67845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678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6784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6784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67845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6784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6784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67845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6784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67845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678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67845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67845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678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6784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67845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678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6784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6784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67845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67845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67845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67845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67845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6784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67845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67845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67845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67845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6784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67845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67845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67845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67845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67845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6784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6784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67845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67845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678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67845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6784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6784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67845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67845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6784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67845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67845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67845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67845"/>
    <w:rPr>
      <w:rFonts w:ascii="Symbol" w:hAnsi="Symbol" w:hint="default"/>
    </w:rPr>
  </w:style>
  <w:style w:type="character" w:customStyle="1" w:styleId="onewind3">
    <w:name w:val="onewind3"/>
    <w:basedOn w:val="a0"/>
    <w:rsid w:val="00967845"/>
    <w:rPr>
      <w:rFonts w:ascii="Wingdings 3" w:hAnsi="Wingdings 3" w:hint="default"/>
    </w:rPr>
  </w:style>
  <w:style w:type="character" w:customStyle="1" w:styleId="onewind2">
    <w:name w:val="onewind2"/>
    <w:basedOn w:val="a0"/>
    <w:rsid w:val="00967845"/>
    <w:rPr>
      <w:rFonts w:ascii="Wingdings 2" w:hAnsi="Wingdings 2" w:hint="default"/>
    </w:rPr>
  </w:style>
  <w:style w:type="character" w:customStyle="1" w:styleId="onewind">
    <w:name w:val="onewind"/>
    <w:basedOn w:val="a0"/>
    <w:rsid w:val="00967845"/>
    <w:rPr>
      <w:rFonts w:ascii="Wingdings" w:hAnsi="Wingdings" w:hint="default"/>
    </w:rPr>
  </w:style>
  <w:style w:type="character" w:customStyle="1" w:styleId="rednoun">
    <w:name w:val="rednoun"/>
    <w:basedOn w:val="a0"/>
    <w:rsid w:val="00967845"/>
  </w:style>
  <w:style w:type="character" w:customStyle="1" w:styleId="post">
    <w:name w:val="post"/>
    <w:basedOn w:val="a0"/>
    <w:rsid w:val="009678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6784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67845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67845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67845"/>
    <w:rPr>
      <w:rFonts w:ascii="Arial" w:hAnsi="Arial" w:cs="Arial" w:hint="default"/>
    </w:rPr>
  </w:style>
  <w:style w:type="character" w:customStyle="1" w:styleId="snoskiindex">
    <w:name w:val="snoskiindex"/>
    <w:basedOn w:val="a0"/>
    <w:rsid w:val="0096784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67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nhideWhenUsed/>
    <w:rsid w:val="0096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7845"/>
  </w:style>
  <w:style w:type="paragraph" w:styleId="a7">
    <w:name w:val="footer"/>
    <w:basedOn w:val="a"/>
    <w:link w:val="a8"/>
    <w:uiPriority w:val="99"/>
    <w:unhideWhenUsed/>
    <w:rsid w:val="00967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7845"/>
  </w:style>
  <w:style w:type="character" w:styleId="a9">
    <w:name w:val="page number"/>
    <w:basedOn w:val="a0"/>
    <w:unhideWhenUsed/>
    <w:rsid w:val="00967845"/>
  </w:style>
  <w:style w:type="table" w:styleId="aa">
    <w:name w:val="Table Grid"/>
    <w:basedOn w:val="a1"/>
    <w:uiPriority w:val="39"/>
    <w:rsid w:val="0096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96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1712</Words>
  <Characters>11239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12</cp:revision>
  <dcterms:created xsi:type="dcterms:W3CDTF">2024-02-12T10:00:00Z</dcterms:created>
  <dcterms:modified xsi:type="dcterms:W3CDTF">2026-02-11T11:28:00Z</dcterms:modified>
</cp:coreProperties>
</file>