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233" w:type="dxa"/>
        <w:tblLook w:val="04A0" w:firstRow="1" w:lastRow="0" w:firstColumn="1" w:lastColumn="0" w:noHBand="0" w:noVBand="1"/>
      </w:tblPr>
      <w:tblGrid>
        <w:gridCol w:w="3085"/>
        <w:gridCol w:w="1701"/>
        <w:gridCol w:w="284"/>
        <w:gridCol w:w="708"/>
        <w:gridCol w:w="1027"/>
        <w:gridCol w:w="977"/>
        <w:gridCol w:w="839"/>
        <w:gridCol w:w="1014"/>
        <w:gridCol w:w="1598"/>
      </w:tblGrid>
      <w:tr w:rsidR="000C3C66" w14:paraId="7B3C580D" w14:textId="77777777" w:rsidTr="00010DD8">
        <w:trPr>
          <w:trHeight w:val="11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9EB434B" w14:textId="75331E06" w:rsidR="000C3C66" w:rsidRDefault="000C3C66" w:rsidP="00841511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CEB8D0" wp14:editId="0894B1A6">
                      <wp:simplePos x="0" y="0"/>
                      <wp:positionH relativeFrom="column">
                        <wp:posOffset>-2236</wp:posOffset>
                      </wp:positionH>
                      <wp:positionV relativeFrom="paragraph">
                        <wp:posOffset>10491</wp:posOffset>
                      </wp:positionV>
                      <wp:extent cx="1746070" cy="540689"/>
                      <wp:effectExtent l="0" t="0" r="26035" b="1206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070" cy="54068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E8840E" w14:textId="77777777" w:rsidR="000C3C66" w:rsidRPr="000C3C66" w:rsidRDefault="000C3C66" w:rsidP="0084151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0C3C66">
                                    <w:rPr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Тематический семинар (вебинар)</w:t>
                                  </w:r>
                                  <w:r w:rsidRPr="000C3C66"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EB8D0" id="Скругленный прямоугольник 3" o:spid="_x0000_s1026" style="position:absolute;margin-left:-.2pt;margin-top:.85pt;width:137.5pt;height:4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" filled="f" strokecolor="black [3213]" strokeweight="2pt">
                      <v:textbox>
                        <w:txbxContent>
                          <w:p w14:paraId="28E8840E" w14:textId="77777777" w:rsidR="000C3C66" w:rsidRPr="000C3C66" w:rsidRDefault="000C3C66" w:rsidP="0084151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0C3C66">
                              <w:rPr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>Тематический семинар (вебинар)</w:t>
                            </w:r>
                            <w:r w:rsidRPr="000C3C6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18191AD" w14:textId="77777777" w:rsidR="000C3C66" w:rsidRDefault="000C3C66" w:rsidP="00841511">
            <w:pPr>
              <w:rPr>
                <w:lang w:val="en-US"/>
              </w:rPr>
            </w:pPr>
          </w:p>
          <w:p w14:paraId="72BE7662" w14:textId="77777777" w:rsidR="000C3C66" w:rsidRDefault="000C3C66" w:rsidP="00841511">
            <w:pPr>
              <w:rPr>
                <w:lang w:val="en-US"/>
              </w:rPr>
            </w:pPr>
          </w:p>
          <w:p w14:paraId="0FD073F5" w14:textId="77777777" w:rsidR="000C3C66" w:rsidRDefault="000C3C66" w:rsidP="0084151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FD3646" w14:textId="77777777" w:rsidR="000C3C66" w:rsidRDefault="000C3C66" w:rsidP="000C3C66">
            <w:pPr>
              <w:ind w:right="-127"/>
              <w:jc w:val="right"/>
            </w:pPr>
            <w:r>
              <w:rPr>
                <w:noProof/>
              </w:rPr>
              <w:drawing>
                <wp:inline distT="0" distB="0" distL="0" distR="0" wp14:anchorId="4B6FD59E" wp14:editId="1C62DD9A">
                  <wp:extent cx="604299" cy="604299"/>
                  <wp:effectExtent l="0" t="0" r="571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ЦНТДИ_м (высокое разрешение, без фона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75" cy="60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80513" w14:textId="77777777" w:rsidR="000C3C66" w:rsidRPr="003450B7" w:rsidRDefault="000C3C66" w:rsidP="000C3C66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0C3C66">
              <w:rPr>
                <w:rFonts w:ascii="Verdana" w:hAnsi="Verdana"/>
                <w:bCs/>
                <w:sz w:val="20"/>
                <w:szCs w:val="18"/>
              </w:rPr>
              <w:t>Государственное предприятие</w:t>
            </w:r>
          </w:p>
          <w:p w14:paraId="0787AE74" w14:textId="67FB4F77" w:rsidR="000C3C66" w:rsidRDefault="00DA799C" w:rsidP="000C3C66">
            <w:r>
              <w:rPr>
                <w:rFonts w:ascii="Verdana" w:hAnsi="Verdana"/>
                <w:bCs/>
                <w:sz w:val="20"/>
                <w:szCs w:val="18"/>
              </w:rPr>
              <w:t>«</w:t>
            </w:r>
            <w:r w:rsidR="000C3C66" w:rsidRPr="000C3C66">
              <w:rPr>
                <w:rFonts w:ascii="Verdana" w:hAnsi="Verdana"/>
                <w:bCs/>
                <w:sz w:val="20"/>
                <w:szCs w:val="18"/>
              </w:rPr>
              <w:t>Центр научно-технической и деловой информации»</w:t>
            </w:r>
          </w:p>
        </w:tc>
      </w:tr>
      <w:tr w:rsidR="00365CA4" w:rsidRPr="00647714" w14:paraId="527E4657" w14:textId="77777777" w:rsidTr="00194801">
        <w:trPr>
          <w:trHeight w:val="12464"/>
        </w:trPr>
        <w:tc>
          <w:tcPr>
            <w:tcW w:w="11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7F8C07" w14:textId="77777777" w:rsidR="00A70B4F" w:rsidRDefault="00365CA4" w:rsidP="00A70B4F">
            <w:pPr>
              <w:spacing w:line="32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 w:rsidRPr="00A70B4F">
              <w:rPr>
                <w:b/>
                <w:color w:val="000000"/>
                <w:sz w:val="32"/>
                <w:szCs w:val="32"/>
              </w:rPr>
              <w:t>«</w:t>
            </w:r>
            <w:r w:rsidR="00A70B4F" w:rsidRPr="00A70B4F">
              <w:rPr>
                <w:b/>
                <w:color w:val="000000"/>
                <w:sz w:val="32"/>
                <w:szCs w:val="32"/>
              </w:rPr>
              <w:t xml:space="preserve">НОВОЕ В БУХГАЛТЕРСКОМ УЧЕТЕ С 20.09.2025. </w:t>
            </w:r>
          </w:p>
          <w:p w14:paraId="1E05CAA6" w14:textId="77777777" w:rsidR="00A70B4F" w:rsidRDefault="00A70B4F" w:rsidP="00A70B4F">
            <w:pPr>
              <w:spacing w:line="32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 w:rsidRPr="00A70B4F">
              <w:rPr>
                <w:b/>
                <w:color w:val="000000"/>
                <w:sz w:val="32"/>
                <w:szCs w:val="32"/>
              </w:rPr>
              <w:t xml:space="preserve">ОТДЕЛЬНЫЕ СЛОЖНЫЕ ВОПРОСЫ БУХГАЛТЕРСКОГО УЧЕТА </w:t>
            </w:r>
          </w:p>
          <w:p w14:paraId="550AE89A" w14:textId="302BDE8E" w:rsidR="00365CA4" w:rsidRPr="00A70B4F" w:rsidRDefault="00A70B4F" w:rsidP="00A70B4F">
            <w:pPr>
              <w:spacing w:line="32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 w:rsidRPr="00A70B4F">
              <w:rPr>
                <w:b/>
                <w:color w:val="000000"/>
                <w:sz w:val="32"/>
                <w:szCs w:val="32"/>
              </w:rPr>
              <w:t>И НАЛОГООБЛОЖЕНИЯ в 2025 году (списание задолженностей, отражение резервов, исправление ошибок)</w:t>
            </w:r>
            <w:r w:rsidR="00365CA4" w:rsidRPr="00A70B4F">
              <w:rPr>
                <w:b/>
                <w:color w:val="000000"/>
                <w:sz w:val="32"/>
                <w:szCs w:val="32"/>
              </w:rPr>
              <w:t>»</w:t>
            </w:r>
          </w:p>
          <w:p w14:paraId="1E8A3BC8" w14:textId="77777777" w:rsidR="00365CA4" w:rsidRPr="0056537C" w:rsidRDefault="00365CA4" w:rsidP="00010DD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8242759" w14:textId="79F32819" w:rsidR="00365CA4" w:rsidRPr="00010DD8" w:rsidRDefault="00365CA4" w:rsidP="00010DD8">
            <w:pPr>
              <w:spacing w:line="280" w:lineRule="exact"/>
              <w:ind w:left="7088" w:hanging="7088"/>
              <w:jc w:val="center"/>
              <w:rPr>
                <w:rFonts w:ascii="Verdana" w:hAnsi="Verdana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56537C">
              <w:rPr>
                <w:rFonts w:ascii="Verdana" w:hAnsi="Verdana"/>
                <w:b/>
                <w:color w:val="000000"/>
                <w:sz w:val="28"/>
                <w:szCs w:val="28"/>
              </w:rPr>
              <w:t xml:space="preserve">ДАТА ПРОВЕДЕНИЯ: </w:t>
            </w:r>
            <w:r w:rsidR="00A70B4F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>4</w:t>
            </w:r>
            <w:r w:rsidR="003450B7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 </w:t>
            </w:r>
            <w:r w:rsidR="00A70B4F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>ноября</w:t>
            </w:r>
            <w:r w:rsidRPr="002A7E65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 202</w:t>
            </w:r>
            <w:r w:rsidR="00F069FF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>5</w:t>
            </w:r>
            <w:r w:rsidRPr="002A7E65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 года </w:t>
            </w:r>
            <w:r w:rsidRPr="003E4B13">
              <w:rPr>
                <w:rFonts w:ascii="Verdana" w:hAnsi="Verdana"/>
                <w:b/>
                <w:color w:val="000000"/>
                <w:sz w:val="30"/>
                <w:szCs w:val="30"/>
              </w:rPr>
              <w:t xml:space="preserve">в режиме ОНЛАЙН </w:t>
            </w:r>
          </w:p>
          <w:p w14:paraId="5E0643F1" w14:textId="30B9F39E" w:rsidR="00365CA4" w:rsidRPr="00902C89" w:rsidRDefault="00010DD8" w:rsidP="00F069FF">
            <w:pPr>
              <w:ind w:left="5103"/>
              <w:jc w:val="center"/>
              <w:rPr>
                <w:rFonts w:ascii="Verdana" w:hAnsi="Verdana"/>
                <w:b/>
                <w:color w:val="000000"/>
                <w:sz w:val="4"/>
                <w:szCs w:val="4"/>
              </w:rPr>
            </w:pPr>
            <w:r w:rsidRPr="003E4B13">
              <w:rPr>
                <w:rFonts w:ascii="Verdana" w:hAnsi="Verdana"/>
                <w:b/>
                <w:color w:val="000000"/>
                <w:sz w:val="30"/>
                <w:szCs w:val="30"/>
              </w:rPr>
              <w:t xml:space="preserve">на </w:t>
            </w:r>
            <w:r>
              <w:rPr>
                <w:rFonts w:ascii="Verdana" w:hAnsi="Verdana"/>
                <w:b/>
                <w:color w:val="000000"/>
                <w:sz w:val="30"/>
                <w:szCs w:val="30"/>
              </w:rPr>
              <w:t xml:space="preserve">ПО «Облачная видеоконференцсвязь </w:t>
            </w:r>
            <w:r>
              <w:rPr>
                <w:rFonts w:ascii="Verdana" w:hAnsi="Verdana"/>
                <w:b/>
                <w:color w:val="000000"/>
                <w:sz w:val="30"/>
                <w:szCs w:val="30"/>
                <w:lang w:val="en-US"/>
              </w:rPr>
              <w:t>IVA</w:t>
            </w:r>
            <w:r w:rsidRPr="00010DD8">
              <w:rPr>
                <w:rFonts w:ascii="Verdana" w:hAnsi="Verdana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z w:val="30"/>
                <w:szCs w:val="30"/>
                <w:lang w:val="en-US"/>
              </w:rPr>
              <w:t>MCU</w:t>
            </w:r>
            <w:r>
              <w:rPr>
                <w:rFonts w:ascii="Verdana" w:hAnsi="Verdana"/>
                <w:b/>
                <w:color w:val="000000"/>
                <w:sz w:val="30"/>
                <w:szCs w:val="30"/>
              </w:rPr>
              <w:t>»</w:t>
            </w:r>
          </w:p>
          <w:p w14:paraId="316960C0" w14:textId="504F6A48" w:rsidR="00365CA4" w:rsidRDefault="00365CA4" w:rsidP="00010DD8">
            <w:pPr>
              <w:pStyle w:val="a7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A7E6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НАЧАЛО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ПРОВЕДЕНИЯ</w:t>
            </w:r>
            <w:r w:rsidRPr="0040054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A7E65">
              <w:rPr>
                <w:rFonts w:ascii="Verdana" w:hAnsi="Verdana"/>
                <w:b/>
                <w:bCs/>
                <w:i/>
                <w:color w:val="FF0000"/>
                <w:sz w:val="28"/>
                <w:szCs w:val="28"/>
                <w:u w:val="single"/>
              </w:rPr>
              <w:t>в 1</w:t>
            </w:r>
            <w:r w:rsidR="003450B7">
              <w:rPr>
                <w:rFonts w:ascii="Verdana" w:hAnsi="Verdana"/>
                <w:b/>
                <w:bCs/>
                <w:i/>
                <w:color w:val="FF0000"/>
                <w:sz w:val="28"/>
                <w:szCs w:val="28"/>
                <w:u w:val="single"/>
              </w:rPr>
              <w:t>0</w:t>
            </w:r>
            <w:r w:rsidRPr="002A7E65">
              <w:rPr>
                <w:rFonts w:ascii="Verdana" w:hAnsi="Verdana"/>
                <w:b/>
                <w:bCs/>
                <w:i/>
                <w:color w:val="FF0000"/>
                <w:sz w:val="28"/>
                <w:szCs w:val="28"/>
                <w:u w:val="single"/>
              </w:rPr>
              <w:t>.00</w:t>
            </w:r>
            <w:r w:rsidRPr="0040054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2A7E65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 xml:space="preserve">ПОДКЛЮЧЕНИЕ УЧАСТНИКОВ </w:t>
            </w:r>
            <w:r w:rsidR="003450B7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 xml:space="preserve">с </w:t>
            </w:r>
            <w:r w:rsidRPr="002A7E65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>9.</w:t>
            </w:r>
            <w:r w:rsidR="003450B7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>0</w:t>
            </w:r>
            <w:r w:rsidRPr="002A7E65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>0</w:t>
            </w:r>
          </w:p>
          <w:p w14:paraId="32B16451" w14:textId="77777777" w:rsidR="00365CA4" w:rsidRPr="00902C89" w:rsidRDefault="00365CA4" w:rsidP="00010DD8">
            <w:pPr>
              <w:pStyle w:val="a7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000000"/>
                <w:sz w:val="4"/>
                <w:szCs w:val="4"/>
              </w:rPr>
            </w:pPr>
          </w:p>
          <w:p w14:paraId="34EC0F86" w14:textId="77777777" w:rsidR="00ED613B" w:rsidRDefault="00365CA4" w:rsidP="00010DD8">
            <w:pPr>
              <w:jc w:val="center"/>
              <w:rPr>
                <w:rFonts w:ascii="Verdana" w:hAnsi="Verdana"/>
                <w:bCs/>
                <w:i/>
                <w:iCs/>
                <w:color w:val="000000"/>
              </w:rPr>
            </w:pPr>
            <w:r w:rsidRPr="0056537C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Целевая группа: </w:t>
            </w:r>
            <w:r w:rsidR="00ED613B" w:rsidRPr="00ED613B">
              <w:rPr>
                <w:rFonts w:ascii="Verdana" w:hAnsi="Verdana"/>
                <w:bCs/>
                <w:i/>
                <w:iCs/>
                <w:color w:val="000000"/>
              </w:rPr>
              <w:t xml:space="preserve">главные бухгалтеры, заместители главных бухгалтеров, </w:t>
            </w:r>
          </w:p>
          <w:p w14:paraId="5A62449A" w14:textId="4816FCC6" w:rsidR="00365CA4" w:rsidRPr="0056537C" w:rsidRDefault="00ED613B" w:rsidP="00010DD8">
            <w:pPr>
              <w:jc w:val="center"/>
              <w:rPr>
                <w:rFonts w:ascii="Verdana" w:hAnsi="Verdana"/>
                <w:bCs/>
                <w:i/>
                <w:iCs/>
                <w:color w:val="000000"/>
                <w:sz w:val="22"/>
                <w:szCs w:val="22"/>
              </w:rPr>
            </w:pPr>
            <w:r w:rsidRPr="00ED613B">
              <w:rPr>
                <w:rFonts w:ascii="Verdana" w:hAnsi="Verdana"/>
                <w:bCs/>
                <w:i/>
                <w:iCs/>
                <w:color w:val="000000"/>
              </w:rPr>
              <w:t>бухгалтеры всех форм собственности</w:t>
            </w:r>
          </w:p>
          <w:p w14:paraId="13DFA092" w14:textId="77777777" w:rsidR="00763ACB" w:rsidRPr="008917C6" w:rsidRDefault="00763ACB" w:rsidP="00763ACB">
            <w:pPr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</w:pPr>
            <w:r w:rsidRPr="008917C6">
              <w:rPr>
                <w:rStyle w:val="a8"/>
                <w:rFonts w:ascii="Verdana" w:hAnsi="Verdana"/>
                <w:b/>
                <w:bCs/>
                <w:i/>
                <w:iCs/>
                <w:color w:val="FF0000"/>
                <w:sz w:val="32"/>
                <w:szCs w:val="32"/>
              </w:rPr>
              <w:t>Действует система скидок! Подробнее на сайте</w:t>
            </w:r>
          </w:p>
          <w:p w14:paraId="3060FD3B" w14:textId="77777777" w:rsidR="00763ACB" w:rsidRPr="008F239F" w:rsidRDefault="00763ACB" w:rsidP="00010DD8">
            <w:pPr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6"/>
                <w:szCs w:val="6"/>
              </w:rPr>
            </w:pPr>
          </w:p>
          <w:p w14:paraId="0C45A7BF" w14:textId="77777777" w:rsidR="00365CA4" w:rsidRDefault="00365CA4" w:rsidP="00010DD8">
            <w:pPr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Программа</w:t>
            </w:r>
            <w:r w:rsidRPr="00A521C3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:</w:t>
            </w:r>
          </w:p>
          <w:p w14:paraId="2C63BF35" w14:textId="34E17B1D" w:rsidR="00A70B4F" w:rsidRDefault="00A70B4F" w:rsidP="007C4F4D">
            <w:pPr>
              <w:tabs>
                <w:tab w:val="left" w:pos="9203"/>
              </w:tabs>
              <w:ind w:left="284" w:right="242" w:firstLine="708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70B4F">
              <w:rPr>
                <w:rFonts w:ascii="Verdana" w:hAnsi="Verdana"/>
                <w:i/>
                <w:iCs/>
                <w:sz w:val="20"/>
                <w:szCs w:val="20"/>
              </w:rPr>
              <w:t xml:space="preserve">На вебинаре будут рассмотрены </w:t>
            </w:r>
            <w:r w:rsidRPr="00A70B4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изменения в бухгалтерском учете с 20.09.2025</w:t>
            </w:r>
            <w:r w:rsidRPr="00A70B4F">
              <w:rPr>
                <w:rFonts w:ascii="Verdana" w:hAnsi="Verdana"/>
                <w:i/>
                <w:iCs/>
                <w:sz w:val="20"/>
                <w:szCs w:val="20"/>
              </w:rPr>
              <w:t>, а также некоторые важные вопросы бухгалтерского учета и налогообложения, имеющие важное значение для достоверности бухгалтерской и налоговой отчетности: механизм учета и порядок списания дебиторской и кредиторской задолженности, в том числе в иностранной валюте, исключительный перечень ситуаций, при которых такое списание необходимо провести, а также налогообложение списанных долгов; необходимых и возможных к отражению в настоящее время в бухгалтерском и налоговом учете резервах, отражение которых может оказать существенной влияние на показатели бухгалтерской и налоговой отчетности. Также будет рассмотрен механизм исправления выявленных в бухгалтерском и налоговом учетах ошибок.</w:t>
            </w:r>
          </w:p>
          <w:p w14:paraId="6E75868C" w14:textId="27B7AC98" w:rsidR="007C4F4D" w:rsidRDefault="007C4F4D" w:rsidP="007C4F4D">
            <w:pPr>
              <w:tabs>
                <w:tab w:val="left" w:pos="9203"/>
              </w:tabs>
              <w:ind w:left="284" w:right="242" w:firstLine="708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F069FF">
              <w:rPr>
                <w:rFonts w:ascii="Verdana" w:hAnsi="Verdana"/>
                <w:i/>
                <w:sz w:val="20"/>
                <w:szCs w:val="20"/>
              </w:rPr>
              <w:tab/>
            </w:r>
          </w:p>
          <w:p w14:paraId="5980EF04" w14:textId="7E042408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outlineLvl w:val="0"/>
              <w:rPr>
                <w:rFonts w:ascii="Verdana" w:hAnsi="Verdana"/>
                <w:b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1. Изменения в </w:t>
            </w:r>
            <w:r w:rsidRPr="00A70B4F">
              <w:rPr>
                <w:rFonts w:ascii="Verdana" w:hAnsi="Verdana"/>
                <w:b/>
                <w:bCs/>
                <w:iCs/>
                <w:sz w:val="28"/>
                <w:szCs w:val="28"/>
              </w:rPr>
              <w:t>инструкции: о применении типового плана счетов бухгалтерского учета, о бухгалтерском учете доходов и расходов, о формах и оформлении накладных, по исправлению ошибок, учету лизинга и др., вступившие в силу с 20.09.2025 (постановление Минфина</w:t>
            </w:r>
            <w:r>
              <w:rPr>
                <w:rFonts w:ascii="Verdana" w:hAnsi="Verdana"/>
                <w:b/>
                <w:bCs/>
                <w:iCs/>
                <w:sz w:val="28"/>
                <w:szCs w:val="28"/>
              </w:rPr>
              <w:t xml:space="preserve"> </w:t>
            </w:r>
            <w:r w:rsidRPr="00A70B4F">
              <w:rPr>
                <w:rFonts w:ascii="Verdana" w:hAnsi="Verdana"/>
                <w:b/>
                <w:bCs/>
                <w:iCs/>
                <w:sz w:val="28"/>
                <w:szCs w:val="28"/>
              </w:rPr>
              <w:t xml:space="preserve">N73 от 25.08.2025).  </w:t>
            </w:r>
          </w:p>
          <w:p w14:paraId="425E435F" w14:textId="389A6F91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outlineLvl w:val="0"/>
              <w:rPr>
                <w:rFonts w:ascii="Verdana" w:hAnsi="Verdana"/>
                <w:b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2.Бухгалтерский и налоговый учет дебиторской и кредиторской </w:t>
            </w:r>
            <w:proofErr w:type="spellStart"/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>задолжен</w:t>
            </w:r>
            <w:r>
              <w:rPr>
                <w:rFonts w:ascii="Verdana" w:hAnsi="Verdana"/>
                <w:b/>
                <w:iCs/>
                <w:sz w:val="28"/>
                <w:szCs w:val="28"/>
              </w:rPr>
              <w:t>ноти</w:t>
            </w:r>
            <w:proofErr w:type="spellEnd"/>
            <w:r>
              <w:rPr>
                <w:rFonts w:ascii="Verdana" w:hAnsi="Verdana"/>
                <w:b/>
                <w:iCs/>
                <w:sz w:val="28"/>
                <w:szCs w:val="28"/>
              </w:rPr>
              <w:t>.</w:t>
            </w:r>
          </w:p>
          <w:p w14:paraId="354B61F6" w14:textId="2E12B097" w:rsidR="00A70B4F" w:rsidRPr="00A70B4F" w:rsidRDefault="00A70B4F" w:rsidP="00A70B4F">
            <w:pPr>
              <w:ind w:left="142" w:right="244" w:firstLine="567"/>
              <w:rPr>
                <w:rFonts w:ascii="Verdana" w:hAnsi="Verdana"/>
                <w:b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2.1. </w:t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>Инвентаризация дебиторской и кредиторской задолженности.</w:t>
            </w:r>
          </w:p>
          <w:p w14:paraId="27F9FB07" w14:textId="4A52FBAD" w:rsidR="00A70B4F" w:rsidRP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b/>
                <w:i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2.2. </w:t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 xml:space="preserve">Случаи, при которых задолженности подлежат списанию: бухгалтерский учет и налогообложение. Письмо Минфина РБ </w:t>
            </w:r>
            <w:r>
              <w:rPr>
                <w:rFonts w:ascii="Verdana" w:hAnsi="Verdana"/>
                <w:iCs/>
                <w:sz w:val="28"/>
                <w:szCs w:val="28"/>
              </w:rPr>
              <w:br/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>№15-1-1/62</w:t>
            </w:r>
            <w:r>
              <w:rPr>
                <w:rFonts w:ascii="Verdana" w:hAnsi="Verdana"/>
                <w:iCs/>
                <w:sz w:val="28"/>
                <w:szCs w:val="28"/>
              </w:rPr>
              <w:t xml:space="preserve"> </w:t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 xml:space="preserve">от 27.02.2017. Принципы определения срока исковой давности, долги, нереальные для взыскания. </w:t>
            </w:r>
          </w:p>
          <w:p w14:paraId="3C1FFB28" w14:textId="4AD3E791" w:rsidR="00A70B4F" w:rsidRP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b/>
                <w:i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2.3. </w:t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>Документальное подтверждение списания дебиторской и кредиторской задолженности (при истечении срока исковой давности, при ликвидации дебитора, при невозможности взыскания и т.п.).</w:t>
            </w:r>
          </w:p>
          <w:p w14:paraId="31F30F8A" w14:textId="07337B6A" w:rsidR="00A70B4F" w:rsidRP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b/>
                <w:i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2.4. </w:t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 xml:space="preserve">Отражение в бухгалтерском учете списания дебиторской и кредиторской задолженности. </w:t>
            </w:r>
          </w:p>
          <w:p w14:paraId="54A7EB16" w14:textId="5011A923" w:rsidR="00A70B4F" w:rsidRP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b/>
                <w:i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bCs/>
                <w:iCs/>
                <w:sz w:val="28"/>
                <w:szCs w:val="28"/>
              </w:rPr>
              <w:t>2.5.</w:t>
            </w:r>
            <w:r w:rsidRPr="00A70B4F">
              <w:rPr>
                <w:rFonts w:ascii="Verdana" w:hAnsi="Verdana"/>
                <w:bCs/>
                <w:iCs/>
                <w:sz w:val="28"/>
                <w:szCs w:val="28"/>
              </w:rPr>
              <w:t xml:space="preserve"> Налоговый учет: </w:t>
            </w:r>
          </w:p>
          <w:p w14:paraId="48F28F8C" w14:textId="186D225D" w:rsidR="00A70B4F" w:rsidRP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b/>
                <w:i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2.5.1. </w:t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>Налогообложение и отражение в налоговом учете разницы, возникающей по договорам, в которых обязательство выражено в иностранной валюте эквивалентной другой иностранной валюте.</w:t>
            </w:r>
          </w:p>
          <w:p w14:paraId="1C79BE8F" w14:textId="33F01144" w:rsid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i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iCs/>
                <w:sz w:val="28"/>
                <w:szCs w:val="28"/>
              </w:rPr>
              <w:t xml:space="preserve">2.5.2. </w:t>
            </w:r>
            <w:r w:rsidRPr="00A70B4F">
              <w:rPr>
                <w:rFonts w:ascii="Verdana" w:hAnsi="Verdana"/>
                <w:iCs/>
                <w:sz w:val="28"/>
                <w:szCs w:val="28"/>
              </w:rPr>
              <w:t>Особенности налогового учета списания дебиторской и кредиторской задолженности (налог на прибыль, НДС).</w:t>
            </w:r>
          </w:p>
          <w:p w14:paraId="1BD32410" w14:textId="0E1B42CC" w:rsid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b/>
                <w:i/>
                <w:iCs/>
                <w:sz w:val="28"/>
                <w:szCs w:val="28"/>
              </w:rPr>
            </w:pPr>
          </w:p>
          <w:p w14:paraId="46DE3C70" w14:textId="56C17498" w:rsidR="00A70B4F" w:rsidRDefault="00A70B4F" w:rsidP="00A70B4F">
            <w:pPr>
              <w:pStyle w:val="3"/>
              <w:spacing w:after="0"/>
              <w:ind w:left="142" w:right="244" w:firstLine="567"/>
              <w:jc w:val="both"/>
              <w:rPr>
                <w:rFonts w:ascii="Verdana" w:hAnsi="Verdana"/>
                <w:b/>
                <w:i/>
                <w:iCs/>
                <w:sz w:val="28"/>
                <w:szCs w:val="28"/>
              </w:rPr>
            </w:pPr>
          </w:p>
          <w:p w14:paraId="05903F7B" w14:textId="0AB79769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outlineLvl w:val="0"/>
              <w:rPr>
                <w:rFonts w:ascii="Verdana" w:hAnsi="Verdana"/>
                <w:b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3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70B4F">
              <w:rPr>
                <w:rFonts w:ascii="Verdana" w:hAnsi="Verdana"/>
                <w:b/>
                <w:sz w:val="28"/>
                <w:szCs w:val="28"/>
              </w:rPr>
              <w:t>Резервы (обязательные и не обязательные). Случаи, порядок определения, отражение в бухгалтерском и налоговом учете:</w:t>
            </w:r>
          </w:p>
          <w:p w14:paraId="09E008C2" w14:textId="70CA2719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outlineLvl w:val="0"/>
              <w:rPr>
                <w:rFonts w:ascii="Verdana" w:hAnsi="Verdana"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 xml:space="preserve">3.1. 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Резервы по сомнительным долгам в бухгалтерском и налоговом учете. Изменения в порядке создания резерва по сомнительным долгам в налоговом учете в 2023 году.  </w:t>
            </w:r>
          </w:p>
          <w:p w14:paraId="72BCC15B" w14:textId="71FB26C5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outlineLvl w:val="0"/>
              <w:rPr>
                <w:rFonts w:ascii="Verdana" w:hAnsi="Verdana"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 xml:space="preserve">3.2. 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Резерв под снижение стоимости материальных ценностей. </w:t>
            </w:r>
          </w:p>
          <w:p w14:paraId="4E52B9D1" w14:textId="64A8472A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outlineLvl w:val="0"/>
              <w:rPr>
                <w:rFonts w:ascii="Verdana" w:hAnsi="Verdana"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 xml:space="preserve">3.3. 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Резерв по выводу основных средств из эксплуатации и аналогичным обязательствам.          </w:t>
            </w:r>
          </w:p>
          <w:p w14:paraId="56AF6735" w14:textId="4B46BAA2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rPr>
                <w:rFonts w:ascii="Verdana" w:hAnsi="Verdana"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 xml:space="preserve">3.4. </w:t>
            </w:r>
            <w:r w:rsidRPr="00A70B4F">
              <w:rPr>
                <w:rFonts w:ascii="Verdana" w:hAnsi="Verdana"/>
                <w:sz w:val="28"/>
                <w:szCs w:val="28"/>
              </w:rPr>
              <w:t>Резерв предстоящих отпусков.</w:t>
            </w:r>
          </w:p>
          <w:p w14:paraId="221745C1" w14:textId="60AD2AA4" w:rsidR="00A70B4F" w:rsidRPr="00A70B4F" w:rsidRDefault="00A70B4F" w:rsidP="00A70B4F">
            <w:pPr>
              <w:autoSpaceDE w:val="0"/>
              <w:autoSpaceDN w:val="0"/>
              <w:adjustRightInd w:val="0"/>
              <w:ind w:left="142" w:right="244" w:firstLine="567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bCs/>
                <w:sz w:val="28"/>
                <w:szCs w:val="28"/>
              </w:rPr>
              <w:t>4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70B4F">
              <w:rPr>
                <w:rFonts w:ascii="Verdana" w:hAnsi="Verdana"/>
                <w:b/>
                <w:sz w:val="28"/>
                <w:szCs w:val="28"/>
              </w:rPr>
              <w:t>Порядок исправления ошибок в бухгалтерском и налоговом учете и отражение их в бухгалтерской и налоговой отчетности:</w:t>
            </w:r>
          </w:p>
          <w:p w14:paraId="71DBCD5C" w14:textId="3605974A" w:rsidR="00A70B4F" w:rsidRPr="00A70B4F" w:rsidRDefault="00A70B4F" w:rsidP="00A70B4F">
            <w:pPr>
              <w:pStyle w:val="aa"/>
              <w:ind w:left="142" w:right="244" w:firstLine="567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 xml:space="preserve">4.1. </w:t>
            </w:r>
            <w:r w:rsidRPr="00A70B4F">
              <w:rPr>
                <w:rFonts w:ascii="Verdana" w:hAnsi="Verdana"/>
                <w:sz w:val="28"/>
                <w:szCs w:val="28"/>
              </w:rPr>
              <w:t>Классификация ошибок, причины возникновения.</w:t>
            </w:r>
          </w:p>
          <w:p w14:paraId="186230DE" w14:textId="54074918" w:rsidR="00A70B4F" w:rsidRPr="00A70B4F" w:rsidRDefault="00A70B4F" w:rsidP="00A70B4F">
            <w:pPr>
              <w:pStyle w:val="aa"/>
              <w:ind w:left="142" w:right="244" w:firstLine="567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 xml:space="preserve">4.2. </w:t>
            </w:r>
            <w:r w:rsidRPr="00A70B4F">
              <w:rPr>
                <w:rFonts w:ascii="Verdana" w:hAnsi="Verdana"/>
                <w:sz w:val="28"/>
                <w:szCs w:val="28"/>
              </w:rPr>
              <w:t>Определение отчетного периода, в котором была допущена ошибка.</w:t>
            </w:r>
          </w:p>
          <w:p w14:paraId="09F9849A" w14:textId="5E198372" w:rsidR="00A70B4F" w:rsidRP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4</w:t>
            </w:r>
            <w:r w:rsidRPr="00A70B4F">
              <w:rPr>
                <w:rFonts w:ascii="Verdana" w:hAnsi="Verdana"/>
                <w:b/>
                <w:sz w:val="28"/>
                <w:szCs w:val="28"/>
              </w:rPr>
              <w:t xml:space="preserve">.3. </w:t>
            </w:r>
            <w:r w:rsidRPr="00A70B4F">
              <w:rPr>
                <w:rFonts w:ascii="Verdana" w:hAnsi="Verdana"/>
                <w:sz w:val="28"/>
                <w:szCs w:val="28"/>
              </w:rPr>
              <w:t>Порядок отражения в бухгалтерском и налоговом учете исправления ошибок:</w:t>
            </w:r>
          </w:p>
          <w:p w14:paraId="1945A488" w14:textId="77777777" w:rsid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–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 допущенных и выявленных в течение одного отчетного года;</w:t>
            </w:r>
          </w:p>
          <w:p w14:paraId="7F315DA5" w14:textId="23E28E3C" w:rsid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sz w:val="28"/>
                <w:szCs w:val="28"/>
              </w:rPr>
            </w:pPr>
            <w:r w:rsidRPr="00A70B4F">
              <w:rPr>
                <w:rFonts w:ascii="Verdana" w:hAnsi="Verdana"/>
                <w:sz w:val="28"/>
                <w:szCs w:val="28"/>
              </w:rPr>
              <w:t>- допущенных в прошлом отчетном году, выявленных в следующем отчетном году до утверждения годовой отчетности за прошлый год;</w:t>
            </w:r>
          </w:p>
          <w:p w14:paraId="4460B427" w14:textId="0FD2ED9E" w:rsidR="00A70B4F" w:rsidRP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70B4F">
              <w:rPr>
                <w:rFonts w:ascii="Verdana" w:hAnsi="Verdana"/>
                <w:sz w:val="28"/>
                <w:szCs w:val="28"/>
              </w:rPr>
              <w:t>- допущенных в прошлых отчетных годах, выявленных в следующем отчетном году после утверждения годовой отчетности.</w:t>
            </w:r>
          </w:p>
          <w:p w14:paraId="4CEC1C73" w14:textId="358A7566" w:rsidR="00A70B4F" w:rsidRP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>4.4.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 Исправление ошибок, связанных с неправильным исчислением налогов. Особенности исправления ошибок в налоговой отчетности.</w:t>
            </w:r>
          </w:p>
          <w:p w14:paraId="190C5147" w14:textId="1218F854" w:rsidR="00A70B4F" w:rsidRP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>4.5.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 Порядок оформления исправляемых ошибок.</w:t>
            </w:r>
          </w:p>
          <w:p w14:paraId="0896E10B" w14:textId="30802040" w:rsid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sz w:val="28"/>
                <w:szCs w:val="28"/>
              </w:rPr>
            </w:pPr>
            <w:r w:rsidRPr="00A70B4F">
              <w:rPr>
                <w:rFonts w:ascii="Verdana" w:hAnsi="Verdana"/>
                <w:b/>
                <w:sz w:val="28"/>
                <w:szCs w:val="28"/>
              </w:rPr>
              <w:t>4.6.</w:t>
            </w:r>
            <w:r w:rsidRPr="00A70B4F">
              <w:rPr>
                <w:rFonts w:ascii="Verdana" w:hAnsi="Verdana"/>
                <w:sz w:val="28"/>
                <w:szCs w:val="28"/>
              </w:rPr>
              <w:t xml:space="preserve"> Корректировка бухгалтерской и налоговой отчетности в связи с исправлением ошибок.</w:t>
            </w:r>
          </w:p>
          <w:p w14:paraId="3E620267" w14:textId="79CD9731" w:rsidR="00A70B4F" w:rsidRDefault="00A70B4F" w:rsidP="00A70B4F">
            <w:pPr>
              <w:pStyle w:val="aa"/>
              <w:ind w:left="142" w:right="244" w:firstLine="567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5.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70B4F">
              <w:rPr>
                <w:rFonts w:ascii="Verdana" w:hAnsi="Verdana"/>
                <w:b/>
                <w:bCs/>
                <w:sz w:val="28"/>
                <w:szCs w:val="28"/>
              </w:rPr>
              <w:t>Ответы на вопросы.</w:t>
            </w:r>
          </w:p>
          <w:p w14:paraId="4C64FE69" w14:textId="77777777" w:rsidR="00A70B4F" w:rsidRPr="00A74577" w:rsidRDefault="00A70B4F" w:rsidP="007C4F4D">
            <w:pPr>
              <w:tabs>
                <w:tab w:val="left" w:pos="9203"/>
              </w:tabs>
              <w:ind w:left="284" w:right="242" w:firstLine="708"/>
              <w:jc w:val="both"/>
              <w:rPr>
                <w:rFonts w:ascii="Verdana" w:hAnsi="Verdana"/>
                <w:i/>
                <w:sz w:val="6"/>
                <w:szCs w:val="6"/>
              </w:rPr>
            </w:pPr>
          </w:p>
          <w:p w14:paraId="5FEC479C" w14:textId="3279F4B0" w:rsidR="007D4B98" w:rsidRDefault="007D4B98" w:rsidP="007D4B98">
            <w:pPr>
              <w:jc w:val="both"/>
              <w:rPr>
                <w:rFonts w:ascii="Verdana" w:hAnsi="Verdana"/>
              </w:rPr>
            </w:pPr>
            <w:r w:rsidRPr="007D4B98">
              <w:rPr>
                <w:rFonts w:ascii="Verdana" w:hAnsi="Verdana"/>
              </w:rPr>
              <w:t xml:space="preserve">Лектор: </w:t>
            </w:r>
            <w:proofErr w:type="spellStart"/>
            <w:r w:rsidRPr="007D4B98">
              <w:rPr>
                <w:rFonts w:ascii="Verdana" w:hAnsi="Verdana"/>
                <w:b/>
                <w:bCs/>
              </w:rPr>
              <w:t>Сузанский</w:t>
            </w:r>
            <w:proofErr w:type="spellEnd"/>
            <w:r w:rsidRPr="007D4B98">
              <w:rPr>
                <w:rFonts w:ascii="Verdana" w:hAnsi="Verdana"/>
                <w:b/>
                <w:bCs/>
              </w:rPr>
              <w:t xml:space="preserve"> Владимир Евгеньевич</w:t>
            </w:r>
            <w:r>
              <w:rPr>
                <w:rFonts w:ascii="Verdana" w:hAnsi="Verdana"/>
                <w:b/>
                <w:bCs/>
              </w:rPr>
              <w:t xml:space="preserve"> –</w:t>
            </w:r>
            <w:r w:rsidRPr="007D4B98">
              <w:rPr>
                <w:rFonts w:ascii="Verdana" w:hAnsi="Verdana"/>
              </w:rPr>
              <w:t xml:space="preserve"> аудитор, директор ООО «</w:t>
            </w:r>
            <w:proofErr w:type="spellStart"/>
            <w:r w:rsidRPr="007D4B98">
              <w:rPr>
                <w:rFonts w:ascii="Verdana" w:hAnsi="Verdana"/>
              </w:rPr>
              <w:t>ГрандБизнес</w:t>
            </w:r>
            <w:proofErr w:type="spellEnd"/>
            <w:r w:rsidRPr="007D4B98">
              <w:rPr>
                <w:rFonts w:ascii="Verdana" w:hAnsi="Verdana"/>
              </w:rPr>
              <w:t xml:space="preserve"> Консалтинг». </w:t>
            </w:r>
          </w:p>
          <w:p w14:paraId="2D96C0DC" w14:textId="77777777" w:rsidR="00027710" w:rsidRPr="00E9781A" w:rsidRDefault="00027710" w:rsidP="00027710">
            <w:pPr>
              <w:ind w:left="12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 w:rsidRPr="00E9781A"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  <w:t>Условия участия и телефоны для справок и регистрации:</w:t>
            </w:r>
          </w:p>
          <w:p w14:paraId="0B717E35" w14:textId="77777777" w:rsidR="00027710" w:rsidRPr="008C3EBF" w:rsidRDefault="00027710" w:rsidP="00027710">
            <w:pPr>
              <w:ind w:left="284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B441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Для участия в тематическом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онлайн-</w:t>
            </w:r>
            <w:r w:rsidRPr="003B441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семинаре (вебинаре) необходимо зарегистрироваться по телефонам, </w:t>
            </w:r>
            <w:r w:rsidRPr="00F069F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указанным ниже, либо пройти ЭЛЕКТРОННУЮ РЕГИСТРАЦИЮ на сайте в разделе Семинары: </w:t>
            </w:r>
            <w:r w:rsidRPr="00F069FF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HTTPS://CNTDI.GOMEL.BY/SEMINARY/</w:t>
            </w:r>
          </w:p>
          <w:p w14:paraId="27797A54" w14:textId="77777777" w:rsidR="00365CA4" w:rsidRPr="002A7E65" w:rsidRDefault="00365CA4" w:rsidP="00216F98">
            <w:pPr>
              <w:ind w:left="-142"/>
              <w:jc w:val="center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  <w:r w:rsidRPr="002A7E65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 xml:space="preserve">Телефоны для справок и регистрации: </w:t>
            </w:r>
          </w:p>
          <w:p w14:paraId="74E0590C" w14:textId="77777777" w:rsidR="00647714" w:rsidRPr="00647714" w:rsidRDefault="00647714" w:rsidP="00647714">
            <w:pPr>
              <w:jc w:val="center"/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</w:pPr>
            <w:r w:rsidRPr="00647714">
              <w:rPr>
                <w:rFonts w:ascii="Verdana" w:hAnsi="Verdana"/>
                <w:b/>
                <w:bCs/>
                <w:color w:val="000000"/>
                <w:sz w:val="38"/>
                <w:szCs w:val="38"/>
              </w:rPr>
              <w:t xml:space="preserve">8 (0232) 29-37-97, 50-67-36, 50-67-38, 50-67-32, </w:t>
            </w:r>
          </w:p>
          <w:p w14:paraId="6A3D7354" w14:textId="5DC50E74" w:rsidR="00365CA4" w:rsidRPr="00647714" w:rsidRDefault="00647714" w:rsidP="00647714">
            <w:pPr>
              <w:jc w:val="center"/>
              <w:rPr>
                <w:rFonts w:ascii="Verdana" w:hAnsi="Verdana"/>
                <w:b/>
                <w:bCs/>
                <w:color w:val="000000"/>
                <w:sz w:val="34"/>
                <w:szCs w:val="34"/>
              </w:rPr>
            </w:pPr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</w:rPr>
              <w:t>+375 (29) 350-05-11 (А1) Е-</w:t>
            </w:r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  <w:lang w:val="en-US"/>
              </w:rPr>
              <w:t>mail</w:t>
            </w:r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</w:rPr>
              <w:t xml:space="preserve">: </w:t>
            </w:r>
            <w:proofErr w:type="spellStart"/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  <w:lang w:val="en-US"/>
              </w:rPr>
              <w:t>oiu</w:t>
            </w:r>
            <w:proofErr w:type="spellEnd"/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</w:rPr>
              <w:t>@</w:t>
            </w:r>
            <w:proofErr w:type="spellStart"/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  <w:lang w:val="en-US"/>
              </w:rPr>
              <w:t>cntdi</w:t>
            </w:r>
            <w:proofErr w:type="spellEnd"/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</w:rPr>
              <w:t>.</w:t>
            </w:r>
            <w:proofErr w:type="spellStart"/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  <w:lang w:val="en-US"/>
              </w:rPr>
              <w:t>gomel</w:t>
            </w:r>
            <w:proofErr w:type="spellEnd"/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</w:rPr>
              <w:t>.</w:t>
            </w:r>
            <w:r w:rsidRPr="00647714">
              <w:rPr>
                <w:rFonts w:ascii="Verdana" w:hAnsi="Verdana"/>
                <w:b/>
                <w:bCs/>
                <w:color w:val="000000"/>
                <w:sz w:val="34"/>
                <w:szCs w:val="34"/>
                <w:lang w:val="en-US"/>
              </w:rPr>
              <w:t>by</w:t>
            </w:r>
          </w:p>
        </w:tc>
      </w:tr>
      <w:tr w:rsidR="00365CA4" w:rsidRPr="004849A5" w14:paraId="379A4D8A" w14:textId="77777777" w:rsidTr="00194801">
        <w:trPr>
          <w:trHeight w:val="483"/>
        </w:trPr>
        <w:tc>
          <w:tcPr>
            <w:tcW w:w="9635" w:type="dxa"/>
            <w:gridSpan w:val="8"/>
            <w:tcBorders>
              <w:top w:val="single" w:sz="4" w:space="0" w:color="auto"/>
            </w:tcBorders>
          </w:tcPr>
          <w:p w14:paraId="515D55DD" w14:textId="0605EC85" w:rsidR="00365CA4" w:rsidRPr="004849A5" w:rsidRDefault="00365CA4" w:rsidP="000C3C6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4849A5">
              <w:rPr>
                <w:rFonts w:ascii="Verdana" w:hAnsi="Verdana"/>
                <w:bCs/>
                <w:sz w:val="16"/>
                <w:szCs w:val="16"/>
              </w:rPr>
              <w:lastRenderedPageBreak/>
              <w:t xml:space="preserve">Исполнитель и его адрес: Государственное предприятие «Центр научно-технической и деловой информации», 246050 </w:t>
            </w:r>
            <w:proofErr w:type="spellStart"/>
            <w:r w:rsidRPr="004849A5">
              <w:rPr>
                <w:rFonts w:ascii="Verdana" w:hAnsi="Verdana"/>
                <w:bCs/>
                <w:sz w:val="16"/>
                <w:szCs w:val="16"/>
              </w:rPr>
              <w:t>г.Гомель</w:t>
            </w:r>
            <w:proofErr w:type="spellEnd"/>
            <w:r w:rsidRPr="004849A5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proofErr w:type="spellStart"/>
            <w:r w:rsidRPr="004849A5">
              <w:rPr>
                <w:rFonts w:ascii="Verdana" w:hAnsi="Verdana"/>
                <w:bCs/>
                <w:sz w:val="16"/>
                <w:szCs w:val="16"/>
              </w:rPr>
              <w:t>пр.Ленина</w:t>
            </w:r>
            <w:proofErr w:type="spellEnd"/>
            <w:r w:rsidRPr="004849A5">
              <w:rPr>
                <w:rFonts w:ascii="Verdana" w:hAnsi="Verdana"/>
                <w:bCs/>
                <w:sz w:val="16"/>
                <w:szCs w:val="16"/>
              </w:rPr>
              <w:t>, 3, р/</w:t>
            </w:r>
            <w:proofErr w:type="spellStart"/>
            <w:r w:rsidRPr="004849A5">
              <w:rPr>
                <w:rFonts w:ascii="Verdana" w:hAnsi="Verdana"/>
                <w:bCs/>
                <w:sz w:val="16"/>
                <w:szCs w:val="16"/>
              </w:rPr>
              <w:t>сч</w:t>
            </w:r>
            <w:proofErr w:type="spellEnd"/>
            <w:r w:rsidRPr="004849A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4849A5">
              <w:rPr>
                <w:rFonts w:ascii="Verdana" w:hAnsi="Verdana"/>
                <w:bCs/>
                <w:sz w:val="16"/>
                <w:szCs w:val="16"/>
                <w:lang w:val="en-US"/>
              </w:rPr>
              <w:t>BY</w:t>
            </w:r>
            <w:r w:rsidRPr="004849A5">
              <w:rPr>
                <w:rFonts w:ascii="Verdana" w:hAnsi="Verdana"/>
                <w:bCs/>
                <w:sz w:val="16"/>
                <w:szCs w:val="16"/>
              </w:rPr>
              <w:t>04</w:t>
            </w:r>
            <w:r w:rsidRPr="004849A5">
              <w:rPr>
                <w:rFonts w:ascii="Verdana" w:hAnsi="Verdana"/>
                <w:bCs/>
                <w:sz w:val="16"/>
                <w:szCs w:val="16"/>
                <w:lang w:val="en-US"/>
              </w:rPr>
              <w:t>BLBB</w:t>
            </w:r>
            <w:r w:rsidRPr="004849A5">
              <w:rPr>
                <w:rFonts w:ascii="Verdana" w:hAnsi="Verdana"/>
                <w:bCs/>
                <w:sz w:val="16"/>
                <w:szCs w:val="16"/>
              </w:rPr>
              <w:t>30120400063088001001 в Дирекции ОАО «</w:t>
            </w:r>
            <w:proofErr w:type="spellStart"/>
            <w:r w:rsidRPr="004849A5">
              <w:rPr>
                <w:rFonts w:ascii="Verdana" w:hAnsi="Verdana"/>
                <w:bCs/>
                <w:sz w:val="16"/>
                <w:szCs w:val="16"/>
              </w:rPr>
              <w:t>Белинвестбанк</w:t>
            </w:r>
            <w:proofErr w:type="spellEnd"/>
            <w:r w:rsidRPr="004849A5">
              <w:rPr>
                <w:rFonts w:ascii="Verdana" w:hAnsi="Verdana"/>
                <w:bCs/>
                <w:sz w:val="16"/>
                <w:szCs w:val="16"/>
              </w:rPr>
              <w:t xml:space="preserve">) по Гомельской области, </w:t>
            </w:r>
            <w:proofErr w:type="spellStart"/>
            <w:r w:rsidRPr="004849A5">
              <w:rPr>
                <w:rFonts w:ascii="Verdana" w:hAnsi="Verdana"/>
                <w:bCs/>
                <w:sz w:val="16"/>
                <w:szCs w:val="16"/>
              </w:rPr>
              <w:t>г.Гомель</w:t>
            </w:r>
            <w:proofErr w:type="spellEnd"/>
            <w:r w:rsidRPr="004849A5">
              <w:rPr>
                <w:rFonts w:ascii="Verdana" w:hAnsi="Verdana"/>
                <w:bCs/>
                <w:sz w:val="16"/>
                <w:szCs w:val="16"/>
              </w:rPr>
              <w:t xml:space="preserve">, БИК </w:t>
            </w:r>
            <w:r w:rsidRPr="004849A5">
              <w:rPr>
                <w:rFonts w:ascii="Verdana" w:hAnsi="Verdana"/>
                <w:bCs/>
                <w:sz w:val="16"/>
                <w:szCs w:val="16"/>
                <w:lang w:val="en-US"/>
              </w:rPr>
              <w:t>BLBBBY</w:t>
            </w:r>
            <w:r w:rsidRPr="004849A5">
              <w:rPr>
                <w:rFonts w:ascii="Verdana" w:hAnsi="Verdana"/>
                <w:bCs/>
                <w:sz w:val="16"/>
                <w:szCs w:val="16"/>
              </w:rPr>
              <w:t>2</w:t>
            </w:r>
            <w:r w:rsidRPr="004849A5">
              <w:rPr>
                <w:rFonts w:ascii="Verdana" w:hAnsi="Verdana"/>
                <w:bCs/>
                <w:sz w:val="16"/>
                <w:szCs w:val="16"/>
                <w:lang w:val="en-US"/>
              </w:rPr>
              <w:t>X</w:t>
            </w:r>
            <w:r w:rsidRPr="004849A5">
              <w:rPr>
                <w:rFonts w:ascii="Verdana" w:hAnsi="Verdana"/>
                <w:bCs/>
                <w:sz w:val="16"/>
                <w:szCs w:val="16"/>
              </w:rPr>
              <w:t>, УНП 400063088, ОКПО 28860721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14:paraId="04B3EC76" w14:textId="77777777" w:rsidR="00365CA4" w:rsidRPr="004849A5" w:rsidRDefault="00365CA4" w:rsidP="004A0FFF">
            <w:pPr>
              <w:tabs>
                <w:tab w:val="left" w:pos="3828"/>
              </w:tabs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Договор-счёт</w:t>
            </w:r>
          </w:p>
          <w:p w14:paraId="058310EF" w14:textId="7900BFBE" w:rsidR="00365CA4" w:rsidRPr="004849A5" w:rsidRDefault="00365CA4" w:rsidP="004A0FFF">
            <w:pPr>
              <w:tabs>
                <w:tab w:val="left" w:pos="3828"/>
              </w:tabs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№</w:t>
            </w:r>
            <w:r w:rsidR="009928A6"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  <w:r w:rsid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13</w:t>
            </w:r>
            <w:r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от</w:t>
            </w:r>
          </w:p>
          <w:p w14:paraId="102D5ECB" w14:textId="3022D557" w:rsidR="00365CA4" w:rsidRPr="004849A5" w:rsidRDefault="009928A6" w:rsidP="004A0FFF">
            <w:pPr>
              <w:jc w:val="center"/>
              <w:rPr>
                <w:rFonts w:ascii="Verdana" w:hAnsi="Verdana"/>
                <w:bCs/>
                <w:sz w:val="20"/>
                <w:szCs w:val="18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</w:t>
            </w:r>
            <w:r w:rsid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0</w:t>
            </w:r>
            <w:r w:rsidR="00365CA4"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</w:t>
            </w:r>
            <w:r w:rsidR="009B1F90"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  <w:r w:rsidR="00365CA4"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0.202</w:t>
            </w:r>
            <w:r w:rsidRPr="004849A5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365CA4" w:rsidRPr="004849A5" w14:paraId="1F31E034" w14:textId="77777777" w:rsidTr="002846C3">
        <w:trPr>
          <w:trHeight w:val="309"/>
        </w:trPr>
        <w:tc>
          <w:tcPr>
            <w:tcW w:w="5070" w:type="dxa"/>
            <w:gridSpan w:val="3"/>
            <w:vAlign w:val="center"/>
          </w:tcPr>
          <w:p w14:paraId="359D7F06" w14:textId="77777777" w:rsidR="00365CA4" w:rsidRPr="004849A5" w:rsidRDefault="00365CA4" w:rsidP="004A0FFF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Наименование услуг</w:t>
            </w:r>
          </w:p>
        </w:tc>
        <w:tc>
          <w:tcPr>
            <w:tcW w:w="708" w:type="dxa"/>
            <w:vAlign w:val="center"/>
          </w:tcPr>
          <w:p w14:paraId="761EE57D" w14:textId="77777777" w:rsidR="00365CA4" w:rsidRPr="004849A5" w:rsidRDefault="00365CA4" w:rsidP="004A0FFF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К-во, чел</w:t>
            </w:r>
          </w:p>
        </w:tc>
        <w:tc>
          <w:tcPr>
            <w:tcW w:w="1027" w:type="dxa"/>
            <w:vAlign w:val="center"/>
          </w:tcPr>
          <w:p w14:paraId="1A56E439" w14:textId="77777777" w:rsidR="00365CA4" w:rsidRPr="004849A5" w:rsidRDefault="00365CA4" w:rsidP="004A0FFF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 xml:space="preserve">Цена за 1 </w:t>
            </w:r>
            <w:proofErr w:type="spellStart"/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уч</w:t>
            </w:r>
            <w:proofErr w:type="spellEnd"/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 xml:space="preserve">-ка, </w:t>
            </w:r>
            <w:proofErr w:type="spellStart"/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77" w:type="dxa"/>
            <w:vAlign w:val="center"/>
          </w:tcPr>
          <w:p w14:paraId="127E2345" w14:textId="0844FAAC" w:rsidR="00365CA4" w:rsidRPr="004849A5" w:rsidRDefault="00365CA4" w:rsidP="004A0FFF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 xml:space="preserve">Сумма без НДС, </w:t>
            </w:r>
            <w:proofErr w:type="spellStart"/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39" w:type="dxa"/>
            <w:vAlign w:val="center"/>
          </w:tcPr>
          <w:p w14:paraId="0C1BC943" w14:textId="77777777" w:rsidR="00365CA4" w:rsidRPr="004849A5" w:rsidRDefault="00365CA4" w:rsidP="004A0FFF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Ставка НДС, %</w:t>
            </w:r>
          </w:p>
        </w:tc>
        <w:tc>
          <w:tcPr>
            <w:tcW w:w="1014" w:type="dxa"/>
            <w:vAlign w:val="center"/>
          </w:tcPr>
          <w:p w14:paraId="2104D5D9" w14:textId="77777777" w:rsidR="00365CA4" w:rsidRPr="004849A5" w:rsidRDefault="00365CA4" w:rsidP="004A0FFF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Сумма НДС, руб.</w:t>
            </w:r>
          </w:p>
        </w:tc>
        <w:tc>
          <w:tcPr>
            <w:tcW w:w="1598" w:type="dxa"/>
            <w:vAlign w:val="center"/>
          </w:tcPr>
          <w:p w14:paraId="518CBCC0" w14:textId="77777777" w:rsidR="00365CA4" w:rsidRPr="004849A5" w:rsidRDefault="00365CA4" w:rsidP="004A0FFF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Сумма с НДС, руб.</w:t>
            </w:r>
          </w:p>
        </w:tc>
      </w:tr>
      <w:tr w:rsidR="00365CA4" w:rsidRPr="004849A5" w14:paraId="648DE51E" w14:textId="77777777" w:rsidTr="002846C3">
        <w:trPr>
          <w:trHeight w:val="984"/>
        </w:trPr>
        <w:tc>
          <w:tcPr>
            <w:tcW w:w="5070" w:type="dxa"/>
            <w:gridSpan w:val="3"/>
            <w:vAlign w:val="center"/>
          </w:tcPr>
          <w:p w14:paraId="5772E52F" w14:textId="77C938DB" w:rsidR="00365CA4" w:rsidRPr="004849A5" w:rsidRDefault="00365CA4" w:rsidP="00647714">
            <w:pPr>
              <w:widowControl w:val="0"/>
              <w:tabs>
                <w:tab w:val="left" w:pos="432"/>
                <w:tab w:val="left" w:pos="3828"/>
              </w:tabs>
              <w:rPr>
                <w:rFonts w:ascii="Verdana" w:hAnsi="Verdana"/>
                <w:snapToGrid w:val="0"/>
                <w:color w:val="000000"/>
                <w:sz w:val="20"/>
                <w:szCs w:val="20"/>
              </w:rPr>
            </w:pPr>
            <w:r w:rsidRPr="004849A5">
              <w:rPr>
                <w:rFonts w:ascii="Verdana" w:hAnsi="Verdana"/>
                <w:snapToGrid w:val="0"/>
                <w:color w:val="000000"/>
                <w:sz w:val="20"/>
                <w:szCs w:val="20"/>
              </w:rPr>
              <w:t xml:space="preserve">Организация и проведение тематического онлайн-семинара (вебинара) </w:t>
            </w:r>
            <w:r w:rsidR="00647714" w:rsidRPr="004849A5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04</w:t>
            </w:r>
            <w:r w:rsidRPr="004849A5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.</w:t>
            </w:r>
            <w:r w:rsidR="009928A6" w:rsidRPr="004849A5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1</w:t>
            </w:r>
            <w:r w:rsidR="00647714" w:rsidRPr="004849A5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1</w:t>
            </w:r>
            <w:r w:rsidRPr="004849A5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.202</w:t>
            </w:r>
            <w:r w:rsidR="009928A6" w:rsidRPr="004849A5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5</w:t>
            </w:r>
            <w:r w:rsidRPr="004849A5">
              <w:rPr>
                <w:rFonts w:ascii="Verdana" w:hAnsi="Verdana"/>
                <w:snapToGrid w:val="0"/>
                <w:color w:val="000000"/>
                <w:sz w:val="20"/>
                <w:szCs w:val="20"/>
              </w:rPr>
              <w:t xml:space="preserve"> по теме: «</w:t>
            </w:r>
            <w:r w:rsidR="00647714" w:rsidRPr="004849A5">
              <w:rPr>
                <w:rFonts w:ascii="Verdana" w:hAnsi="Verdana"/>
                <w:snapToGrid w:val="0"/>
                <w:color w:val="000000"/>
                <w:sz w:val="20"/>
                <w:szCs w:val="20"/>
              </w:rPr>
              <w:t>НОВОЕ В БУХГАЛТЕРСКОМ УЧЕТЕ С 20.09.2025. ОТДЕЛЬНЫЕ СЛОЖНЫЕ ВОПРОСЫ БУХГАЛТЕРСКОГО УЧЕТА И НАЛОГООБЛОЖЕНИЯ в 2025 году (списание задолженностей, отражение резервов, исправление ошибок)</w:t>
            </w:r>
            <w:r w:rsidRPr="004849A5">
              <w:rPr>
                <w:rFonts w:ascii="Verdana" w:hAnsi="Verdana"/>
                <w:snapToGrid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" w:type="dxa"/>
            <w:vAlign w:val="center"/>
          </w:tcPr>
          <w:p w14:paraId="6DCF220D" w14:textId="77777777" w:rsidR="00365CA4" w:rsidRPr="004849A5" w:rsidRDefault="00365CA4" w:rsidP="004A0FFF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4849A5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vAlign w:val="center"/>
          </w:tcPr>
          <w:p w14:paraId="3E5A2EBB" w14:textId="7540B115" w:rsidR="00365CA4" w:rsidRPr="004849A5" w:rsidRDefault="00365CA4" w:rsidP="004A0FFF">
            <w:pPr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1</w:t>
            </w:r>
            <w:r w:rsidR="009928A6" w:rsidRP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2</w:t>
            </w:r>
            <w:r w:rsid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5</w:t>
            </w:r>
            <w:r w:rsidR="0075453C" w:rsidRP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,</w:t>
            </w:r>
            <w:r w:rsid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977" w:type="dxa"/>
            <w:vAlign w:val="center"/>
          </w:tcPr>
          <w:p w14:paraId="24BF85E4" w14:textId="55091636" w:rsidR="00365CA4" w:rsidRPr="004849A5" w:rsidRDefault="00365CA4" w:rsidP="004A0FFF">
            <w:pPr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1</w:t>
            </w:r>
            <w:r w:rsidR="009928A6" w:rsidRP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2</w:t>
            </w:r>
            <w:r w:rsid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5</w:t>
            </w:r>
            <w:r w:rsidR="0075453C" w:rsidRP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,</w:t>
            </w:r>
            <w:r w:rsidR="004849A5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839" w:type="dxa"/>
            <w:vAlign w:val="center"/>
          </w:tcPr>
          <w:p w14:paraId="62803A04" w14:textId="77777777" w:rsidR="00365CA4" w:rsidRPr="004849A5" w:rsidRDefault="00365CA4" w:rsidP="004A0FF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" w:type="dxa"/>
            <w:vAlign w:val="center"/>
          </w:tcPr>
          <w:p w14:paraId="6C3EA283" w14:textId="1C4E928C" w:rsidR="00365CA4" w:rsidRPr="004849A5" w:rsidRDefault="00365CA4" w:rsidP="004A0FF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  <w:r w:rsid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</w:t>
            </w:r>
            <w:r w:rsidR="0075453C" w:rsidRP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</w:t>
            </w:r>
            <w:r w:rsid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98" w:type="dxa"/>
            <w:vAlign w:val="center"/>
          </w:tcPr>
          <w:p w14:paraId="39ED6D7B" w14:textId="35A15B89" w:rsidR="00365CA4" w:rsidRPr="004849A5" w:rsidRDefault="00365CA4" w:rsidP="004A0FF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  <w:r w:rsid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50</w:t>
            </w:r>
            <w:r w:rsidR="0075453C" w:rsidRP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</w:t>
            </w:r>
            <w:r w:rsidR="004849A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14:paraId="329B9D25" w14:textId="0D58B3B1" w:rsidR="00530EE4" w:rsidRPr="004849A5" w:rsidRDefault="0068797C" w:rsidP="00530EE4">
      <w:pPr>
        <w:tabs>
          <w:tab w:val="left" w:pos="3828"/>
        </w:tabs>
        <w:rPr>
          <w:rFonts w:ascii="Verdana" w:hAnsi="Verdana"/>
          <w:snapToGrid w:val="0"/>
          <w:color w:val="000000"/>
          <w:sz w:val="17"/>
          <w:szCs w:val="17"/>
        </w:rPr>
      </w:pPr>
      <w:r w:rsidRPr="004849A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17DC1033" wp14:editId="225CBAC2">
            <wp:simplePos x="0" y="0"/>
            <wp:positionH relativeFrom="column">
              <wp:posOffset>4436262</wp:posOffset>
            </wp:positionH>
            <wp:positionV relativeFrom="paragraph">
              <wp:posOffset>-1103630</wp:posOffset>
            </wp:positionV>
            <wp:extent cx="1446530" cy="1359535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</w:rPr>
        <w:t xml:space="preserve">Сумма НДС: 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двадцать </w:t>
      </w:r>
      <w:r w:rsid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пять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белорусских рубля </w:t>
      </w:r>
      <w:r w:rsid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00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копе</w:t>
      </w:r>
      <w:r w:rsidR="00831B87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е</w:t>
      </w:r>
      <w:r w:rsidR="009433E2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к</w:t>
      </w:r>
    </w:p>
    <w:p w14:paraId="16E867D7" w14:textId="5940395F" w:rsidR="00530EE4" w:rsidRPr="004849A5" w:rsidRDefault="0028044C" w:rsidP="00530EE4">
      <w:pPr>
        <w:tabs>
          <w:tab w:val="left" w:pos="3828"/>
        </w:tabs>
        <w:rPr>
          <w:rFonts w:ascii="Verdana" w:hAnsi="Verdana"/>
          <w:snapToGrid w:val="0"/>
          <w:color w:val="000000"/>
          <w:sz w:val="17"/>
          <w:szCs w:val="17"/>
          <w:u w:val="single"/>
        </w:rPr>
      </w:pPr>
      <w:r w:rsidRPr="004849A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1B7DF000" wp14:editId="496CFD40">
            <wp:simplePos x="0" y="0"/>
            <wp:positionH relativeFrom="column">
              <wp:posOffset>3480269</wp:posOffset>
            </wp:positionH>
            <wp:positionV relativeFrom="paragraph">
              <wp:posOffset>57150</wp:posOffset>
            </wp:positionV>
            <wp:extent cx="1381177" cy="326004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77" cy="32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</w:rPr>
        <w:t xml:space="preserve">Всего с НДС: 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сто </w:t>
      </w:r>
      <w:r w:rsid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пятьдесят</w:t>
      </w:r>
      <w:r w:rsidR="00AB04F6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белорусских рубл</w:t>
      </w:r>
      <w:r w:rsidR="00AB04F6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ей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</w:t>
      </w:r>
      <w:r w:rsid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00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копе</w:t>
      </w:r>
      <w:r w:rsid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е</w:t>
      </w:r>
      <w:r w:rsidR="00530EE4" w:rsidRPr="004849A5">
        <w:rPr>
          <w:rFonts w:ascii="Verdana" w:hAnsi="Verdana"/>
          <w:snapToGrid w:val="0"/>
          <w:color w:val="000000"/>
          <w:sz w:val="17"/>
          <w:szCs w:val="17"/>
          <w:u w:val="single"/>
        </w:rPr>
        <w:t>к</w:t>
      </w:r>
    </w:p>
    <w:p w14:paraId="6CE45CF3" w14:textId="77777777" w:rsidR="000C3C66" w:rsidRPr="004A0FFF" w:rsidRDefault="00530EE4" w:rsidP="0028044C">
      <w:pPr>
        <w:tabs>
          <w:tab w:val="left" w:pos="3828"/>
        </w:tabs>
      </w:pPr>
      <w:r w:rsidRPr="004849A5">
        <w:rPr>
          <w:rFonts w:ascii="Verdana" w:hAnsi="Verdana"/>
          <w:sz w:val="20"/>
          <w:szCs w:val="20"/>
        </w:rPr>
        <w:t xml:space="preserve">Директор         </w:t>
      </w:r>
      <w:r w:rsidRPr="004849A5">
        <w:rPr>
          <w:rFonts w:ascii="Verdana" w:hAnsi="Verdana"/>
          <w:sz w:val="20"/>
          <w:szCs w:val="20"/>
        </w:rPr>
        <w:tab/>
      </w:r>
      <w:r w:rsidRPr="004849A5">
        <w:rPr>
          <w:rFonts w:ascii="Verdana" w:hAnsi="Verdana"/>
          <w:sz w:val="20"/>
          <w:szCs w:val="20"/>
        </w:rPr>
        <w:tab/>
      </w:r>
      <w:r w:rsidRPr="004849A5">
        <w:rPr>
          <w:rFonts w:ascii="Verdana" w:hAnsi="Verdana"/>
          <w:sz w:val="20"/>
          <w:szCs w:val="20"/>
        </w:rPr>
        <w:tab/>
      </w:r>
      <w:r w:rsidRPr="004849A5">
        <w:rPr>
          <w:rFonts w:ascii="Verdana" w:hAnsi="Verdana"/>
          <w:sz w:val="20"/>
          <w:szCs w:val="20"/>
        </w:rPr>
        <w:tab/>
      </w:r>
      <w:r w:rsidRPr="004849A5">
        <w:rPr>
          <w:rFonts w:ascii="Verdana" w:hAnsi="Verdana"/>
          <w:sz w:val="20"/>
          <w:szCs w:val="20"/>
        </w:rPr>
        <w:tab/>
      </w:r>
      <w:r w:rsidRPr="004849A5">
        <w:rPr>
          <w:rFonts w:ascii="Verdana" w:hAnsi="Verdana"/>
          <w:sz w:val="20"/>
          <w:szCs w:val="20"/>
        </w:rPr>
        <w:tab/>
      </w:r>
      <w:r w:rsidRPr="004849A5">
        <w:rPr>
          <w:rFonts w:ascii="Verdana" w:hAnsi="Verdana"/>
          <w:sz w:val="20"/>
          <w:szCs w:val="20"/>
        </w:rPr>
        <w:tab/>
      </w:r>
      <w:r w:rsidRPr="004849A5">
        <w:rPr>
          <w:rFonts w:ascii="Verdana" w:hAnsi="Verdana"/>
          <w:sz w:val="20"/>
          <w:szCs w:val="20"/>
        </w:rPr>
        <w:tab/>
        <w:t xml:space="preserve">        </w:t>
      </w:r>
      <w:proofErr w:type="spellStart"/>
      <w:r w:rsidRPr="004849A5">
        <w:rPr>
          <w:rFonts w:ascii="Verdana" w:hAnsi="Verdana"/>
          <w:sz w:val="20"/>
          <w:szCs w:val="20"/>
        </w:rPr>
        <w:t>Д.А.Шамров</w:t>
      </w:r>
      <w:proofErr w:type="spellEnd"/>
    </w:p>
    <w:sectPr w:rsidR="000C3C66" w:rsidRPr="004A0FFF" w:rsidSect="009E3F5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1274"/>
    <w:multiLevelType w:val="hybridMultilevel"/>
    <w:tmpl w:val="41A011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C46FF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2ED0"/>
    <w:multiLevelType w:val="hybridMultilevel"/>
    <w:tmpl w:val="707CE5DA"/>
    <w:lvl w:ilvl="0" w:tplc="7E502C18">
      <w:start w:val="1"/>
      <w:numFmt w:val="decimal"/>
      <w:lvlText w:val="%1."/>
      <w:lvlJc w:val="left"/>
      <w:pPr>
        <w:ind w:left="1020" w:hanging="6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259B"/>
    <w:multiLevelType w:val="hybridMultilevel"/>
    <w:tmpl w:val="884E7976"/>
    <w:lvl w:ilvl="0" w:tplc="0B7840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DC36A64"/>
    <w:multiLevelType w:val="hybridMultilevel"/>
    <w:tmpl w:val="B082DADC"/>
    <w:lvl w:ilvl="0" w:tplc="FFBEAB0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881188"/>
    <w:multiLevelType w:val="hybridMultilevel"/>
    <w:tmpl w:val="D2861FCC"/>
    <w:lvl w:ilvl="0" w:tplc="C9601E32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CD60337"/>
    <w:multiLevelType w:val="multilevel"/>
    <w:tmpl w:val="5C28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F8A"/>
    <w:rsid w:val="00010DD8"/>
    <w:rsid w:val="00027710"/>
    <w:rsid w:val="0003318F"/>
    <w:rsid w:val="00041DC7"/>
    <w:rsid w:val="000469FC"/>
    <w:rsid w:val="00057623"/>
    <w:rsid w:val="00096955"/>
    <w:rsid w:val="000B011C"/>
    <w:rsid w:val="000B1630"/>
    <w:rsid w:val="000B7F5C"/>
    <w:rsid w:val="000C3C66"/>
    <w:rsid w:val="000C3FC4"/>
    <w:rsid w:val="00125E5A"/>
    <w:rsid w:val="0014081F"/>
    <w:rsid w:val="0018064F"/>
    <w:rsid w:val="00194801"/>
    <w:rsid w:val="001A2F2C"/>
    <w:rsid w:val="001C56DF"/>
    <w:rsid w:val="001D47A6"/>
    <w:rsid w:val="001D4A3A"/>
    <w:rsid w:val="00250B45"/>
    <w:rsid w:val="00270951"/>
    <w:rsid w:val="0028044C"/>
    <w:rsid w:val="002846C3"/>
    <w:rsid w:val="002A0A2E"/>
    <w:rsid w:val="002A7E65"/>
    <w:rsid w:val="002F39BC"/>
    <w:rsid w:val="0033248A"/>
    <w:rsid w:val="003450B7"/>
    <w:rsid w:val="00357B47"/>
    <w:rsid w:val="00365CA4"/>
    <w:rsid w:val="0038100F"/>
    <w:rsid w:val="003865D2"/>
    <w:rsid w:val="00413F7B"/>
    <w:rsid w:val="004348C0"/>
    <w:rsid w:val="0044666E"/>
    <w:rsid w:val="004849A5"/>
    <w:rsid w:val="00496A6B"/>
    <w:rsid w:val="004A0FFF"/>
    <w:rsid w:val="004B5CFE"/>
    <w:rsid w:val="004C6BB3"/>
    <w:rsid w:val="004F10B0"/>
    <w:rsid w:val="0052673F"/>
    <w:rsid w:val="00530EE4"/>
    <w:rsid w:val="0054734F"/>
    <w:rsid w:val="00555B0B"/>
    <w:rsid w:val="00572F41"/>
    <w:rsid w:val="005A0407"/>
    <w:rsid w:val="005B204F"/>
    <w:rsid w:val="005D2B6E"/>
    <w:rsid w:val="005D5A47"/>
    <w:rsid w:val="005E33D0"/>
    <w:rsid w:val="00642038"/>
    <w:rsid w:val="00647714"/>
    <w:rsid w:val="00653542"/>
    <w:rsid w:val="0068797C"/>
    <w:rsid w:val="006912DF"/>
    <w:rsid w:val="00750485"/>
    <w:rsid w:val="007506E0"/>
    <w:rsid w:val="0075453C"/>
    <w:rsid w:val="00763ACB"/>
    <w:rsid w:val="007C4F4D"/>
    <w:rsid w:val="007D4B98"/>
    <w:rsid w:val="0081165D"/>
    <w:rsid w:val="00823320"/>
    <w:rsid w:val="00831B87"/>
    <w:rsid w:val="00841511"/>
    <w:rsid w:val="00844359"/>
    <w:rsid w:val="008505A4"/>
    <w:rsid w:val="00865B19"/>
    <w:rsid w:val="008F3CF4"/>
    <w:rsid w:val="009433E2"/>
    <w:rsid w:val="00953025"/>
    <w:rsid w:val="009928A6"/>
    <w:rsid w:val="009B1F90"/>
    <w:rsid w:val="009E3F51"/>
    <w:rsid w:val="009F0F02"/>
    <w:rsid w:val="00A07E95"/>
    <w:rsid w:val="00A3007A"/>
    <w:rsid w:val="00A70B4F"/>
    <w:rsid w:val="00A74577"/>
    <w:rsid w:val="00A77EF4"/>
    <w:rsid w:val="00AB04F6"/>
    <w:rsid w:val="00AC30C9"/>
    <w:rsid w:val="00AD7ED1"/>
    <w:rsid w:val="00B10F8A"/>
    <w:rsid w:val="00B24382"/>
    <w:rsid w:val="00BD0178"/>
    <w:rsid w:val="00BE7A26"/>
    <w:rsid w:val="00C105D2"/>
    <w:rsid w:val="00C1128A"/>
    <w:rsid w:val="00CA5A7F"/>
    <w:rsid w:val="00CF3580"/>
    <w:rsid w:val="00D04821"/>
    <w:rsid w:val="00D52E2A"/>
    <w:rsid w:val="00DA4654"/>
    <w:rsid w:val="00DA799C"/>
    <w:rsid w:val="00DF4678"/>
    <w:rsid w:val="00E6020A"/>
    <w:rsid w:val="00EB3E69"/>
    <w:rsid w:val="00EC5410"/>
    <w:rsid w:val="00ED4E74"/>
    <w:rsid w:val="00ED613B"/>
    <w:rsid w:val="00F03858"/>
    <w:rsid w:val="00F069FF"/>
    <w:rsid w:val="00F12F51"/>
    <w:rsid w:val="00F207C4"/>
    <w:rsid w:val="00F25DE4"/>
    <w:rsid w:val="00F444A4"/>
    <w:rsid w:val="00F612D9"/>
    <w:rsid w:val="00FB15D0"/>
    <w:rsid w:val="00FF2F67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E47F"/>
  <w15:docId w15:val="{C1494323-FFFC-4971-BEE1-6E987891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05A4"/>
    <w:pPr>
      <w:ind w:firstLine="709"/>
      <w:contextualSpacing/>
      <w:jc w:val="both"/>
    </w:pPr>
    <w:rPr>
      <w:rFonts w:eastAsia="Calibri"/>
      <w:sz w:val="28"/>
      <w:szCs w:val="22"/>
      <w:lang w:eastAsia="en-US"/>
    </w:rPr>
  </w:style>
  <w:style w:type="table" w:styleId="a4">
    <w:name w:val="Table Grid"/>
    <w:basedOn w:val="a1"/>
    <w:uiPriority w:val="59"/>
    <w:rsid w:val="0084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28044C"/>
    <w:pPr>
      <w:spacing w:before="100" w:beforeAutospacing="1" w:after="100" w:afterAutospacing="1"/>
    </w:pPr>
  </w:style>
  <w:style w:type="character" w:styleId="a8">
    <w:name w:val="Hyperlink"/>
    <w:rsid w:val="0028044C"/>
    <w:rPr>
      <w:color w:val="0068B4"/>
      <w:u w:val="single"/>
    </w:rPr>
  </w:style>
  <w:style w:type="character" w:styleId="a9">
    <w:name w:val="Unresolved Mention"/>
    <w:basedOn w:val="a0"/>
    <w:uiPriority w:val="99"/>
    <w:semiHidden/>
    <w:unhideWhenUsed/>
    <w:rsid w:val="00953025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1C56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763ACB"/>
  </w:style>
  <w:style w:type="paragraph" w:customStyle="1" w:styleId="ConsPlusNormal">
    <w:name w:val="ConsPlusNormal"/>
    <w:rsid w:val="007C4F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A70B4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70B4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7384-7E47-4C2B-BDF9-6D61CD28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Oiu01</cp:lastModifiedBy>
  <cp:revision>72</cp:revision>
  <cp:lastPrinted>2025-10-20T10:54:00Z</cp:lastPrinted>
  <dcterms:created xsi:type="dcterms:W3CDTF">2024-01-16T11:40:00Z</dcterms:created>
  <dcterms:modified xsi:type="dcterms:W3CDTF">2025-10-20T11:01:00Z</dcterms:modified>
</cp:coreProperties>
</file>