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C19E" w14:textId="6AFE7210" w:rsidR="00396F13" w:rsidRDefault="00396F1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396F13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30.04.2025 ДО 13.00 (ФИО И ДОЛЖНОСТЬ ИЛИ ПРИЧИНА ОТСУТСТВИЯ, ФИО И ДОЛЖНОСТЬ ЛИЦА ИСПОЛНЯЮЩЕГО ОБЯЗАННОСТИ РУКОВОДИТЕЛЯ).</w:t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96F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396F13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4F8B3C39" w14:textId="77777777" w:rsidR="00396F13" w:rsidRDefault="00396F1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2F83BD" w14:textId="6F226139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62DDBDF4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FCD20BD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6DF077" w14:textId="77777777" w:rsidR="00A92D37" w:rsidRPr="00235722" w:rsidRDefault="00216005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33AEDE2C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568E08C3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3EDDBF5E" w14:textId="77777777" w:rsidTr="0009240E">
        <w:trPr>
          <w:trHeight w:val="1134"/>
        </w:trPr>
        <w:tc>
          <w:tcPr>
            <w:tcW w:w="851" w:type="dxa"/>
          </w:tcPr>
          <w:p w14:paraId="21F30552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31FE486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798E91F6" w14:textId="77777777" w:rsidR="00850A50" w:rsidRPr="003E7E9F" w:rsidRDefault="00850A50" w:rsidP="00850A50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строительстве и вводе объектов в эксплуатацию </w:t>
            </w:r>
          </w:p>
          <w:p w14:paraId="6D828DCB" w14:textId="77777777" w:rsidR="00850A50" w:rsidRPr="003E7E9F" w:rsidRDefault="00850A50" w:rsidP="00850A50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Гонтарева Ирина Александровна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4486863A" w14:textId="77777777" w:rsidR="00435052" w:rsidRPr="00986185" w:rsidRDefault="00850A50" w:rsidP="00850A50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председатель комитета строительства и инвестиций</w:t>
            </w:r>
            <w:r w:rsidRPr="003E7E9F">
              <w:rPr>
                <w:i/>
                <w:sz w:val="28"/>
                <w:szCs w:val="28"/>
                <w:lang w:val="ru-RU"/>
              </w:rPr>
              <w:t xml:space="preserve"> Мингорисполкома</w:t>
            </w:r>
            <w:r w:rsidR="00435052">
              <w:rPr>
                <w:i/>
                <w:sz w:val="28"/>
                <w:szCs w:val="28"/>
                <w:lang w:val="ru-RU"/>
              </w:rPr>
              <w:t xml:space="preserve"> </w:t>
            </w:r>
            <w:r w:rsidR="00435052" w:rsidRPr="00986185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77D8450B" w14:textId="77777777" w:rsidR="009D09BD" w:rsidRPr="009D09BD" w:rsidRDefault="009D09BD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35052" w:rsidRPr="00235722" w14:paraId="27D59236" w14:textId="77777777" w:rsidTr="0009240E">
        <w:trPr>
          <w:trHeight w:val="1134"/>
        </w:trPr>
        <w:tc>
          <w:tcPr>
            <w:tcW w:w="851" w:type="dxa"/>
          </w:tcPr>
          <w:p w14:paraId="5C03431A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4322101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228CDB3" w14:textId="77777777" w:rsidR="0091309F" w:rsidRPr="003E7E9F" w:rsidRDefault="0091309F" w:rsidP="0091309F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запланированных мероприятиях</w:t>
            </w:r>
            <w:r w:rsidR="00D35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 посвященных Дню Победы, а также проводимых в рамках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летнего музыкально-туристического сезона </w:t>
            </w:r>
          </w:p>
          <w:p w14:paraId="4268178E" w14:textId="77777777" w:rsidR="0091309F" w:rsidRPr="003E7E9F" w:rsidRDefault="0091309F" w:rsidP="0091309F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Лучина Екатерина Петровна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2E5C8006" w14:textId="77777777" w:rsidR="00435052" w:rsidRPr="009D09BD" w:rsidRDefault="0091309F" w:rsidP="0091309F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начальник управления культуры </w:t>
            </w:r>
            <w:r w:rsidRPr="003E7E9F">
              <w:rPr>
                <w:i/>
                <w:sz w:val="28"/>
                <w:szCs w:val="28"/>
                <w:lang w:val="ru-RU"/>
              </w:rPr>
              <w:t>Мингорисполкома</w:t>
            </w:r>
          </w:p>
          <w:p w14:paraId="2DA82D10" w14:textId="77777777" w:rsidR="00435052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  <w:tr w:rsidR="009D09BD" w:rsidRPr="00235722" w14:paraId="63CD24CB" w14:textId="77777777" w:rsidTr="0009240E">
        <w:trPr>
          <w:trHeight w:val="1134"/>
        </w:trPr>
        <w:tc>
          <w:tcPr>
            <w:tcW w:w="851" w:type="dxa"/>
          </w:tcPr>
          <w:p w14:paraId="4756DB76" w14:textId="77777777"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A2E2065" w14:textId="77777777"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069DBD6E" w14:textId="77777777" w:rsidR="009D09BD" w:rsidRPr="003E7E9F" w:rsidRDefault="00543D2A" w:rsidP="009D09BD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="009130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формировании студенческих отрядов</w:t>
            </w:r>
          </w:p>
          <w:p w14:paraId="6C78C64D" w14:textId="77777777" w:rsidR="009D09BD" w:rsidRPr="003E7E9F" w:rsidRDefault="009D09BD" w:rsidP="009D09BD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135587" w:rsidRPr="00135587">
              <w:rPr>
                <w:b/>
                <w:i/>
                <w:sz w:val="28"/>
                <w:szCs w:val="28"/>
                <w:lang w:val="ru-RU"/>
              </w:rPr>
              <w:t>Бондарук Роман</w:t>
            </w:r>
            <w:r w:rsidR="005D5DBB" w:rsidRPr="00135587">
              <w:rPr>
                <w:b/>
                <w:i/>
                <w:sz w:val="28"/>
                <w:szCs w:val="28"/>
                <w:lang w:val="ru-RU"/>
              </w:rPr>
              <w:t xml:space="preserve"> Сергеевич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705C71A7" w14:textId="77777777" w:rsidR="009D09BD" w:rsidRDefault="00135587" w:rsidP="009D09BD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первый секретарь Минского городского комитета ОО «БРСМ»</w:t>
            </w:r>
          </w:p>
          <w:p w14:paraId="25811346" w14:textId="77777777"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14:paraId="641A22BA" w14:textId="77777777" w:rsidTr="0009240E">
        <w:tc>
          <w:tcPr>
            <w:tcW w:w="851" w:type="dxa"/>
          </w:tcPr>
          <w:p w14:paraId="50095AB5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1E9BF3A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5EABEA36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4F59D602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473DE92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2C2E6AB2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BBFF879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0444F290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3DB62172" w14:textId="77777777" w:rsidTr="0009240E">
        <w:tc>
          <w:tcPr>
            <w:tcW w:w="851" w:type="dxa"/>
          </w:tcPr>
          <w:p w14:paraId="59B31E0C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794A274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2C290BCA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6D7D25EC" w14:textId="77777777" w:rsidR="00301899" w:rsidRPr="00F85448" w:rsidRDefault="00301899" w:rsidP="00301899">
      <w:pPr>
        <w:widowControl w:val="0"/>
      </w:pPr>
    </w:p>
    <w:sectPr w:rsidR="00301899" w:rsidRPr="00F85448" w:rsidSect="00396F1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18275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7052D"/>
    <w:rsid w:val="00387C6C"/>
    <w:rsid w:val="00390901"/>
    <w:rsid w:val="00396F13"/>
    <w:rsid w:val="003A1C53"/>
    <w:rsid w:val="003C3338"/>
    <w:rsid w:val="003D4358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205EC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7F5215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4174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E8B2"/>
  <w15:docId w15:val="{7DAB884B-4A01-492B-9054-676D9C25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396F1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9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2025-04-21T08:51:00Z</cp:lastPrinted>
  <dcterms:created xsi:type="dcterms:W3CDTF">2025-04-21T07:27:00Z</dcterms:created>
  <dcterms:modified xsi:type="dcterms:W3CDTF">2025-04-22T08:38:00Z</dcterms:modified>
</cp:coreProperties>
</file>