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59B8" w14:textId="6518E6D3" w:rsidR="00233B71" w:rsidRDefault="00233B7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Доброе утро! </w:t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 w:rsidRPr="00233B71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t xml:space="preserve">  В СРОК НЕ ПОЗДНЕЕ 06.03.2025 ДО 17.00 (ФИО И ДОЛЖНОСТЬ ИЛИ ПРИЧИНА ОТСУТСТВИЯ, ФИО И ДОЛЖНОСТЬ ЛИЦА ИСПОЛНЯЮЩЕГО ОБЯЗАННОСТИ РУКОВОДИТЕЛЯ). </w:t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Присутствие в зале всех участников совещания обязательно! </w:t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уважением, </w:t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управление организационной работы </w:t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главного управления организационно-кадровой работы </w:t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Мингорисполкома </w:t>
      </w:r>
      <w:r w:rsidRPr="00233B71">
        <w:rPr>
          <w:rFonts w:ascii="Times New Roman" w:eastAsia="Times New Roman" w:hAnsi="Times New Roman"/>
          <w:sz w:val="28"/>
          <w:szCs w:val="28"/>
          <w:lang w:eastAsia="ru-RU"/>
        </w:rPr>
        <w:br/>
        <w:t>218 00 26</w:t>
      </w:r>
    </w:p>
    <w:p w14:paraId="75740AEF" w14:textId="77777777" w:rsidR="00233B71" w:rsidRDefault="00233B7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64FDBD" w14:textId="7EA0F3BB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68670C95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545A9090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68B563" w14:textId="77777777" w:rsidR="00A92D37" w:rsidRPr="00235722" w:rsidRDefault="00CA4F51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марта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19035EF9" w14:textId="77777777" w:rsidR="00A92D37" w:rsidRPr="00235722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315F3F4A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235722" w14:paraId="13A2E219" w14:textId="77777777" w:rsidTr="0009240E">
        <w:trPr>
          <w:trHeight w:val="1134"/>
        </w:trPr>
        <w:tc>
          <w:tcPr>
            <w:tcW w:w="851" w:type="dxa"/>
          </w:tcPr>
          <w:p w14:paraId="2E0BC2A4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436CF5E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15BE0F0F" w14:textId="77777777" w:rsidR="00CA4F51" w:rsidRPr="004F62B6" w:rsidRDefault="00CA4F51" w:rsidP="00CA4F51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О ходе выполнения задания по строительству и вводу объектов 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br/>
              <w:t xml:space="preserve">в эксплуатацию в 1 квартале 2025 г. </w:t>
            </w:r>
          </w:p>
          <w:p w14:paraId="375477FC" w14:textId="77777777" w:rsidR="00CA4F51" w:rsidRPr="004F62B6" w:rsidRDefault="00CA4F51" w:rsidP="00CA4F51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4F62B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4F62B6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Гонтарева Ирина Александровна</w:t>
            </w:r>
            <w:r w:rsidRPr="004F62B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3E8BC79A" w14:textId="77777777" w:rsidR="00472FE6" w:rsidRPr="00B07CEE" w:rsidRDefault="00CA4F51" w:rsidP="00CA4F51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председатель комитета строительства 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br/>
              <w:t>и инвестиций Мингорисполкома</w:t>
            </w:r>
          </w:p>
          <w:p w14:paraId="13753C9C" w14:textId="77777777" w:rsidR="004F62B6" w:rsidRPr="00235722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08B0B1E5" w14:textId="77777777" w:rsidTr="0009240E">
        <w:trPr>
          <w:trHeight w:val="1134"/>
        </w:trPr>
        <w:tc>
          <w:tcPr>
            <w:tcW w:w="851" w:type="dxa"/>
          </w:tcPr>
          <w:p w14:paraId="6AC8A01D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DB359DE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48B71B0" w14:textId="77777777" w:rsidR="009C3077" w:rsidRPr="00105477" w:rsidRDefault="00CA4F51" w:rsidP="009C3077">
            <w:pPr>
              <w:tabs>
                <w:tab w:val="left" w:pos="2835"/>
                <w:tab w:val="left" w:pos="301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запланированных работах по нанесению дорожной разметки</w:t>
            </w:r>
          </w:p>
          <w:p w14:paraId="04955731" w14:textId="77777777" w:rsidR="009C3077" w:rsidRPr="00105477" w:rsidRDefault="009C3077" w:rsidP="009C3077">
            <w:pPr>
              <w:pStyle w:val="2"/>
              <w:spacing w:line="280" w:lineRule="exact"/>
              <w:ind w:left="2302" w:firstLine="12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105477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105477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CA4F51">
              <w:rPr>
                <w:b/>
                <w:i/>
                <w:sz w:val="28"/>
                <w:szCs w:val="28"/>
                <w:lang w:val="ru-RU"/>
              </w:rPr>
              <w:t>Савич Вячеслав Викторович</w:t>
            </w:r>
            <w:r w:rsidRPr="00105477">
              <w:rPr>
                <w:i/>
                <w:sz w:val="28"/>
                <w:szCs w:val="28"/>
                <w:lang w:val="ru-RU"/>
              </w:rPr>
              <w:t>,</w:t>
            </w:r>
          </w:p>
          <w:p w14:paraId="703E95A4" w14:textId="77777777" w:rsidR="00C0640B" w:rsidRPr="00CA4F51" w:rsidRDefault="00CA4F51" w:rsidP="009C3077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директор КУП «СМЭП Мингорисполкома»</w:t>
            </w:r>
          </w:p>
          <w:p w14:paraId="2BFFA02D" w14:textId="77777777" w:rsidR="009C3077" w:rsidRPr="009C3077" w:rsidRDefault="009C3077" w:rsidP="009C3077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46AADEEE" w14:textId="77777777" w:rsidTr="0009240E">
        <w:trPr>
          <w:trHeight w:val="1134"/>
        </w:trPr>
        <w:tc>
          <w:tcPr>
            <w:tcW w:w="851" w:type="dxa"/>
          </w:tcPr>
          <w:p w14:paraId="7DA565F8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D45DBBF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235722" w14:paraId="43F232C3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0C0C0395" w14:textId="77777777" w:rsidR="00991B1E" w:rsidRPr="00235722" w:rsidRDefault="009C3077" w:rsidP="009C3077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развитии предприятия</w:t>
                  </w:r>
                  <w:r w:rsidR="000B075C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91B1E" w:rsidRPr="00235722" w14:paraId="2331F681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3D922F31" w14:textId="77777777" w:rsidR="0009462B" w:rsidRPr="003E7E9F" w:rsidRDefault="0009462B" w:rsidP="0009462B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E7E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3E7E9F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CA4F51">
                    <w:rPr>
                      <w:b/>
                      <w:i/>
                      <w:sz w:val="28"/>
                      <w:szCs w:val="28"/>
                    </w:rPr>
                    <w:t>Завалей Николай Николаевич</w:t>
                  </w:r>
                  <w:r w:rsidRPr="003E7E9F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2C29482A" w14:textId="77777777" w:rsidR="00991B1E" w:rsidRPr="00235722" w:rsidRDefault="0009462B" w:rsidP="0009462B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CA4F51">
                    <w:rPr>
                      <w:i/>
                      <w:sz w:val="28"/>
                      <w:szCs w:val="28"/>
                    </w:rPr>
                    <w:t>КУП «Универмаг Беларусь»</w:t>
                  </w:r>
                </w:p>
                <w:p w14:paraId="46C2332C" w14:textId="77777777" w:rsidR="00991B1E" w:rsidRPr="00235722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ECA6C55" w14:textId="77777777" w:rsidR="00991B1E" w:rsidRPr="00235722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49E5ECFE" w14:textId="77777777" w:rsidTr="0009240E">
        <w:tc>
          <w:tcPr>
            <w:tcW w:w="851" w:type="dxa"/>
          </w:tcPr>
          <w:p w14:paraId="24373970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5A34385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7F41A92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3622A3F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37FB8023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466FA2F8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3CBDF48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1503B290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F6122FF" w14:textId="77777777" w:rsidTr="0009240E">
        <w:tc>
          <w:tcPr>
            <w:tcW w:w="851" w:type="dxa"/>
          </w:tcPr>
          <w:p w14:paraId="14C1AC56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4FD0D79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5AFAB791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2C886B00" w14:textId="77777777" w:rsidR="001E52CB" w:rsidRPr="00F85448" w:rsidRDefault="001E52CB" w:rsidP="00301899">
      <w:pPr>
        <w:widowControl w:val="0"/>
      </w:pPr>
    </w:p>
    <w:p w14:paraId="087DBB17" w14:textId="77777777" w:rsidR="00301899" w:rsidRPr="00F85448" w:rsidRDefault="00301899" w:rsidP="00301899">
      <w:pPr>
        <w:widowControl w:val="0"/>
      </w:pPr>
    </w:p>
    <w:sectPr w:rsidR="00301899" w:rsidRPr="00F85448" w:rsidSect="00233B7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14805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33B71"/>
    <w:rsid w:val="00235722"/>
    <w:rsid w:val="00245177"/>
    <w:rsid w:val="0024521D"/>
    <w:rsid w:val="002C6EAE"/>
    <w:rsid w:val="002D02A6"/>
    <w:rsid w:val="002E040F"/>
    <w:rsid w:val="002E6127"/>
    <w:rsid w:val="00301899"/>
    <w:rsid w:val="003111D4"/>
    <w:rsid w:val="0032716B"/>
    <w:rsid w:val="00334EB4"/>
    <w:rsid w:val="0037052D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3D78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C3077"/>
    <w:rsid w:val="009F6F08"/>
    <w:rsid w:val="00A405AE"/>
    <w:rsid w:val="00A437A0"/>
    <w:rsid w:val="00A45A77"/>
    <w:rsid w:val="00A51FB9"/>
    <w:rsid w:val="00A53613"/>
    <w:rsid w:val="00A55C93"/>
    <w:rsid w:val="00A64F2D"/>
    <w:rsid w:val="00A9069F"/>
    <w:rsid w:val="00A92D37"/>
    <w:rsid w:val="00AA5337"/>
    <w:rsid w:val="00AC116E"/>
    <w:rsid w:val="00AE5903"/>
    <w:rsid w:val="00AF0862"/>
    <w:rsid w:val="00B04034"/>
    <w:rsid w:val="00B07CEE"/>
    <w:rsid w:val="00B121C2"/>
    <w:rsid w:val="00B86250"/>
    <w:rsid w:val="00B930DC"/>
    <w:rsid w:val="00B94229"/>
    <w:rsid w:val="00BB0C20"/>
    <w:rsid w:val="00BB63C4"/>
    <w:rsid w:val="00BC3F2D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DCF"/>
    <w:rsid w:val="00D47AE7"/>
    <w:rsid w:val="00D53C82"/>
    <w:rsid w:val="00D60CA0"/>
    <w:rsid w:val="00D76CD1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35E3"/>
  <w15:docId w15:val="{59626A47-DC6A-4C44-92B5-9815D8A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33B7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33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2025-03-03T12:23:00Z</cp:lastPrinted>
  <dcterms:created xsi:type="dcterms:W3CDTF">2025-03-03T12:16:00Z</dcterms:created>
  <dcterms:modified xsi:type="dcterms:W3CDTF">2025-03-04T06:25:00Z</dcterms:modified>
</cp:coreProperties>
</file>