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85BB" w14:textId="77777777" w:rsidR="00034DE9" w:rsidRDefault="00034DE9" w:rsidP="00034DE9">
      <w:pPr>
        <w:spacing w:line="280" w:lineRule="exact"/>
        <w:ind w:left="11057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65720C0E" w14:textId="77777777" w:rsidR="00034DE9" w:rsidRDefault="00034DE9" w:rsidP="00034DE9">
      <w:pPr>
        <w:spacing w:line="280" w:lineRule="exact"/>
        <w:ind w:left="11057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архитектуры и строительства Республики Беларусь</w:t>
      </w:r>
    </w:p>
    <w:p w14:paraId="63456CF8" w14:textId="77777777" w:rsidR="00034DE9" w:rsidRDefault="00034DE9" w:rsidP="00034DE9">
      <w:pPr>
        <w:spacing w:line="280" w:lineRule="exact"/>
        <w:ind w:left="11057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97257E8" w14:textId="77777777" w:rsidR="00034DE9" w:rsidRDefault="00034DE9" w:rsidP="00034DE9">
      <w:pPr>
        <w:spacing w:line="280" w:lineRule="exact"/>
        <w:ind w:left="11057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2A35C1D" w14:textId="77777777" w:rsidR="00034DE9" w:rsidRDefault="00034DE9" w:rsidP="00034DE9">
      <w:pPr>
        <w:spacing w:line="280" w:lineRule="exact"/>
        <w:ind w:left="11057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Пархамович Р.В.</w:t>
      </w:r>
    </w:p>
    <w:p w14:paraId="5DD01514" w14:textId="77777777" w:rsidR="00034DE9" w:rsidRDefault="00034DE9" w:rsidP="003D2B6D">
      <w:pPr>
        <w:spacing w:line="360" w:lineRule="exact"/>
        <w:ind w:firstLine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</w:pPr>
    </w:p>
    <w:p w14:paraId="57ACD797" w14:textId="6AA883AB" w:rsidR="003D2B6D" w:rsidRPr="00034DE9" w:rsidRDefault="003D2B6D" w:rsidP="007F4520">
      <w:pPr>
        <w:spacing w:line="360" w:lineRule="exact"/>
        <w:ind w:firstLine="0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  <w:r w:rsidRPr="00034DE9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Перечень вопросов к заседанию Круглого стола </w:t>
      </w:r>
    </w:p>
    <w:p w14:paraId="17C636FC" w14:textId="05F53AFC" w:rsidR="006863A7" w:rsidRPr="00034DE9" w:rsidRDefault="003D2B6D" w:rsidP="007F4520">
      <w:pPr>
        <w:spacing w:line="360" w:lineRule="exact"/>
        <w:ind w:firstLine="0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  <w:r w:rsidRPr="00034DE9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на тему «</w:t>
      </w:r>
      <w:r w:rsidR="0031574A" w:rsidRPr="00034DE9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Проектная деятельность</w:t>
      </w:r>
      <w:r w:rsidRPr="00034DE9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»</w:t>
      </w:r>
    </w:p>
    <w:p w14:paraId="049ED062" w14:textId="77777777" w:rsidR="0000532E" w:rsidRPr="0000532E" w:rsidRDefault="0000532E" w:rsidP="007F4520">
      <w:pPr>
        <w:spacing w:line="360" w:lineRule="exact"/>
        <w:ind w:firstLine="0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  <w:bookmarkStart w:id="0" w:name="_Hlk181797598"/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3"/>
        <w:gridCol w:w="6874"/>
        <w:gridCol w:w="3875"/>
        <w:gridCol w:w="3469"/>
      </w:tblGrid>
      <w:tr w:rsidR="009C7844" w14:paraId="6890580F" w14:textId="77777777" w:rsidTr="00D72821">
        <w:tc>
          <w:tcPr>
            <w:tcW w:w="803" w:type="dxa"/>
          </w:tcPr>
          <w:p w14:paraId="139F5513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E14B3B2" w14:textId="69C70889" w:rsidR="00830353" w:rsidRPr="0000532E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6874" w:type="dxa"/>
          </w:tcPr>
          <w:p w14:paraId="4FDCEEEE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B3E7634" w14:textId="3D8C7122" w:rsidR="00830353" w:rsidRPr="00C876BC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вопроса</w:t>
            </w:r>
          </w:p>
        </w:tc>
        <w:tc>
          <w:tcPr>
            <w:tcW w:w="3875" w:type="dxa"/>
          </w:tcPr>
          <w:p w14:paraId="2115C517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F9D5DB1" w14:textId="087F88BC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Предл</w:t>
            </w:r>
            <w:r w:rsidR="00D811C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жения по решению вопроса</w:t>
            </w:r>
          </w:p>
          <w:p w14:paraId="243BEA54" w14:textId="5B36C7D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469" w:type="dxa"/>
          </w:tcPr>
          <w:p w14:paraId="464967C1" w14:textId="541E29F1" w:rsidR="00830353" w:rsidRPr="00C876BC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представившая вопрос</w:t>
            </w:r>
          </w:p>
        </w:tc>
      </w:tr>
      <w:tr w:rsidR="009C7844" w14:paraId="0FC47B0C" w14:textId="77777777" w:rsidTr="00D72821">
        <w:tc>
          <w:tcPr>
            <w:tcW w:w="803" w:type="dxa"/>
          </w:tcPr>
          <w:p w14:paraId="048F1843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6874" w:type="dxa"/>
          </w:tcPr>
          <w:p w14:paraId="00A26988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875" w:type="dxa"/>
          </w:tcPr>
          <w:p w14:paraId="7C4F5B0D" w14:textId="77777777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469" w:type="dxa"/>
          </w:tcPr>
          <w:p w14:paraId="71B739CE" w14:textId="299961F2" w:rsidR="00830353" w:rsidRDefault="00830353" w:rsidP="003C1430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A40E8F" w:rsidRPr="00DC1027" w14:paraId="54F5EA69" w14:textId="77777777" w:rsidTr="00D72821">
        <w:tc>
          <w:tcPr>
            <w:tcW w:w="803" w:type="dxa"/>
          </w:tcPr>
          <w:p w14:paraId="7FB128C3" w14:textId="4C33B5C5" w:rsidR="00830353" w:rsidRPr="00DC1027" w:rsidRDefault="005B07F2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1.</w:t>
            </w:r>
          </w:p>
        </w:tc>
        <w:tc>
          <w:tcPr>
            <w:tcW w:w="6874" w:type="dxa"/>
          </w:tcPr>
          <w:p w14:paraId="01EC8158" w14:textId="04D5E8A3" w:rsidR="005B07F2" w:rsidRPr="00DC1027" w:rsidRDefault="005B07F2" w:rsidP="00DC1027">
            <w:pPr>
              <w:widowControl w:val="0"/>
              <w:spacing w:line="280" w:lineRule="exact"/>
              <w:ind w:firstLine="4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Постановлением Министерства архитектуры и строительства Республики Беларусь от 19.04.2023 № 39 утверждена Инструкция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выражении. В отличие от ранее действующей редакции, в ней установлены ряд требований, оказывающих отрицательное влияние на сроки реализации инвестиционных проектов и условия ведения бизнеса.</w:t>
            </w:r>
          </w:p>
          <w:p w14:paraId="5C8EAFD7" w14:textId="5579961D" w:rsidR="00830353" w:rsidRPr="00DC1027" w:rsidRDefault="005B07F2" w:rsidP="00DC1027">
            <w:pPr>
              <w:pStyle w:val="a4"/>
              <w:tabs>
                <w:tab w:val="left" w:pos="142"/>
              </w:tabs>
              <w:spacing w:line="280" w:lineRule="exact"/>
              <w:ind w:left="-63" w:firstLine="410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– Подпунктом 8.3 пункта 8 Инструкции № 39 определен порядок включения в сметную стоимость строительства объекта материалов, изделий и конструкций. С момента его введения сроки разработки проектной документации значительно увеличились, так как данный порядок обязывает разработчиков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проектной документации обращаться к оператору ГИС «Госстройпортал» за информацией, получение которой растягивается на несколько месяцев. Кроме того, в ряде случаях снизилась степень достоверности включаемой в сметную документацию стоимости материалов, изделий и конструкций, по сравнению с ранее установленным Министерством архитектуры и строительства порядком.</w:t>
            </w:r>
          </w:p>
          <w:p w14:paraId="4AC28E15" w14:textId="4BF4B6C4" w:rsidR="005B07F2" w:rsidRPr="00DC1027" w:rsidRDefault="005B07F2" w:rsidP="00DC1027">
            <w:pPr>
              <w:pStyle w:val="20"/>
              <w:shd w:val="clear" w:color="auto" w:fill="auto"/>
              <w:tabs>
                <w:tab w:val="left" w:pos="1239"/>
              </w:tabs>
              <w:spacing w:before="0" w:after="0" w:line="280" w:lineRule="exact"/>
              <w:ind w:left="-63" w:firstLine="410"/>
              <w:jc w:val="both"/>
            </w:pPr>
            <w:r w:rsidRPr="00DC1027">
              <w:rPr>
                <w:lang w:val="ru-RU"/>
              </w:rPr>
              <w:t xml:space="preserve">– </w:t>
            </w:r>
            <w:r w:rsidRPr="00DC1027">
              <w:t>Пунктом 41 Инструкции № 39 допускается составление сводки средств, если одновременно предусматривается финансирование строительства жилищно-гражданских объектов и объектов производственного назначения, либо одновременно предусматривается строительство зданий, сооружений в составе объекта в различных населенных пунктах и(или) на межселенных территориях. Данная норма противоречит пункту 1.42 статьи 1 Кодекса Республики Беларусь об архитектурной, градостроительной и строительной деятельности (далее - Кодекс), содержащему определение термина «объект строительства», как одиночное здание, сооружение. Также, она противоречит требованиям Инструкции о порядке определения вида строительной деятельности и наименования объекта строительства, утвержденной постановлением Министерства архитектуры и строительства от 30.06.2022 № 66, в которой также не предусматривается осуществление отдельных видов строительной деятельности (не относящихся в возведению) одновременно на нескольких зданиях, сооружениях в рамках одного объекта строительства.</w:t>
            </w:r>
          </w:p>
          <w:p w14:paraId="13A86437" w14:textId="11F98ACA" w:rsidR="005B07F2" w:rsidRPr="00DC1027" w:rsidRDefault="005B07F2" w:rsidP="00DC1027">
            <w:pPr>
              <w:pStyle w:val="20"/>
              <w:shd w:val="clear" w:color="auto" w:fill="auto"/>
              <w:tabs>
                <w:tab w:val="left" w:pos="1250"/>
              </w:tabs>
              <w:spacing w:before="0" w:after="0" w:line="280" w:lineRule="exact"/>
              <w:ind w:left="-63" w:firstLine="410"/>
              <w:jc w:val="both"/>
            </w:pPr>
            <w:r w:rsidRPr="00DC1027">
              <w:rPr>
                <w:lang w:val="ru-RU"/>
              </w:rPr>
              <w:t xml:space="preserve">– </w:t>
            </w:r>
            <w:r w:rsidRPr="00DC1027">
              <w:t>Подпункт 3.2 пункта 3 Инструкции № 39 определяет порядок</w:t>
            </w:r>
            <w:r w:rsidRPr="00DC1027">
              <w:rPr>
                <w:lang w:val="ru-RU"/>
              </w:rPr>
              <w:t xml:space="preserve"> </w:t>
            </w:r>
            <w:r w:rsidRPr="00DC1027">
              <w:t xml:space="preserve">включения в сметную документацию стоимости монтируемого оборудования и монтируемой мебели. При этом, устанавливаются </w:t>
            </w:r>
            <w:r w:rsidRPr="00DC1027">
              <w:lastRenderedPageBreak/>
              <w:t>требования к</w:t>
            </w:r>
            <w:r w:rsidRPr="00DC1027">
              <w:tab/>
              <w:t>составу</w:t>
            </w:r>
            <w:r w:rsidR="004E5549" w:rsidRPr="00DC1027">
              <w:rPr>
                <w:lang w:val="ru-RU"/>
              </w:rPr>
              <w:t xml:space="preserve"> </w:t>
            </w:r>
            <w:r w:rsidRPr="00DC1027">
              <w:t>и порядку</w:t>
            </w:r>
            <w:r w:rsidRPr="00DC1027">
              <w:rPr>
                <w:lang w:val="ru-RU"/>
              </w:rPr>
              <w:t xml:space="preserve"> </w:t>
            </w:r>
            <w:r w:rsidRPr="00DC1027">
              <w:t>разработки предпроектной</w:t>
            </w:r>
            <w:r w:rsidRPr="00DC1027">
              <w:rPr>
                <w:lang w:val="ru-RU"/>
              </w:rPr>
              <w:t xml:space="preserve"> </w:t>
            </w:r>
            <w:r w:rsidRPr="00DC1027">
              <w:t>(предынвестиционной) документации, с определением объема необходимых к выполнению работ на этой стадии и сведений, что не относится к области регулирования Инструкции № 39. В этом же подпункте 3.2 пункта 3 Инструкции № 39 определяется содержание проектной документации, способы отображения монтируемого оборудования и монтируемой мебели на чертежах проектной документации, что также не относится к области регулирования Инструкции № 39.</w:t>
            </w:r>
          </w:p>
          <w:p w14:paraId="3E1941A3" w14:textId="3A99640F" w:rsidR="005B07F2" w:rsidRPr="00DC1027" w:rsidRDefault="005B07F2" w:rsidP="00DC1027">
            <w:pPr>
              <w:pStyle w:val="20"/>
              <w:shd w:val="clear" w:color="auto" w:fill="auto"/>
              <w:spacing w:before="0" w:after="0" w:line="280" w:lineRule="exact"/>
              <w:ind w:firstLine="489"/>
              <w:jc w:val="both"/>
            </w:pPr>
            <w:r w:rsidRPr="00DC1027">
              <w:rPr>
                <w:lang w:val="ru-RU"/>
              </w:rPr>
              <w:t xml:space="preserve">– </w:t>
            </w:r>
            <w:r w:rsidRPr="00DC1027">
              <w:t>В пункте 2 Инструкции № 39 установлены определения терминов «монтируемое оборудование», «монтируемая мебель», допускающие различные трактовки и сложности в правоприменении, в том числе ввиду их близости с понятием технологического оборудования для некоторых видов объектов.</w:t>
            </w:r>
          </w:p>
          <w:p w14:paraId="69F7D1C5" w14:textId="77777777" w:rsidR="005B07F2" w:rsidRPr="00DC1027" w:rsidRDefault="005B07F2" w:rsidP="00DC1027">
            <w:pPr>
              <w:pStyle w:val="20"/>
              <w:shd w:val="clear" w:color="auto" w:fill="auto"/>
              <w:spacing w:before="0" w:after="0" w:line="280" w:lineRule="exact"/>
              <w:ind w:firstLine="489"/>
              <w:jc w:val="both"/>
            </w:pPr>
            <w:r w:rsidRPr="00DC1027">
              <w:t>Однако, подпунктом 1.3 пункта 1 постановления Совета Министров Республики Беларусь от 01.03.2012 № 195 «О некоторых мерах по повышению требований к проектной документации в части снижения материале-, энерго- и импортоемкости проектных решений» установлена возможность включения в сметную стоимость строительства затрат, связанных с комплектацией мебелью и инвентарем ряда объектов при определенных условиях.</w:t>
            </w:r>
          </w:p>
          <w:p w14:paraId="63375E50" w14:textId="77777777" w:rsidR="005B07F2" w:rsidRPr="00DC1027" w:rsidRDefault="005B07F2" w:rsidP="00DC1027">
            <w:pPr>
              <w:pStyle w:val="20"/>
              <w:shd w:val="clear" w:color="auto" w:fill="auto"/>
              <w:spacing w:before="0" w:after="0" w:line="280" w:lineRule="exact"/>
              <w:ind w:firstLine="720"/>
              <w:jc w:val="both"/>
            </w:pPr>
            <w:r w:rsidRPr="00DC1027">
              <w:t>Таким образом, нормы подпункта 3.2 пункта 3 Инструкции № 39 создают противоречия в законодательстве.</w:t>
            </w:r>
          </w:p>
          <w:p w14:paraId="4A75C3E4" w14:textId="3C8BDC49" w:rsidR="005B07F2" w:rsidRPr="00DC1027" w:rsidRDefault="005B07F2" w:rsidP="00DC1027">
            <w:pPr>
              <w:pStyle w:val="a4"/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7965E60C" w14:textId="6C86D606" w:rsidR="004E5549" w:rsidRPr="00DC1027" w:rsidRDefault="00734170" w:rsidP="00DC1027">
            <w:pPr>
              <w:widowControl w:val="0"/>
              <w:spacing w:line="280" w:lineRule="exact"/>
              <w:ind w:firstLine="4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Предложения </w:t>
            </w:r>
            <w:r w:rsidR="004E5549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могут быть реализованы </w:t>
            </w:r>
            <w:r w:rsidR="004E5549" w:rsidRPr="00DC1027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t>путем утверждения Министерством архитектуры и строительства соответствующих положений</w:t>
            </w:r>
            <w:r w:rsidR="004E5549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.</w:t>
            </w:r>
          </w:p>
          <w:p w14:paraId="3A3BF31F" w14:textId="77777777" w:rsidR="00830353" w:rsidRPr="00DC1027" w:rsidRDefault="00830353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22E8CFD5" w14:textId="69A4C18C" w:rsidR="00830353" w:rsidRPr="00DC1027" w:rsidRDefault="005B07F2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Республиканское унитарное предприятие «Главгосстройэкспертиза»</w:t>
            </w:r>
          </w:p>
        </w:tc>
      </w:tr>
      <w:tr w:rsidR="009C7844" w:rsidRPr="00DC1027" w14:paraId="65EDA779" w14:textId="77777777" w:rsidTr="00D72821">
        <w:tc>
          <w:tcPr>
            <w:tcW w:w="803" w:type="dxa"/>
          </w:tcPr>
          <w:p w14:paraId="792E9DE6" w14:textId="47FF9B92" w:rsidR="00830353" w:rsidRPr="00DC1027" w:rsidRDefault="005B07F2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6874" w:type="dxa"/>
          </w:tcPr>
          <w:p w14:paraId="092AB364" w14:textId="77777777" w:rsidR="005B07F2" w:rsidRPr="00DC1027" w:rsidRDefault="005B07F2" w:rsidP="00DC1027">
            <w:pPr>
              <w:widowControl w:val="0"/>
              <w:spacing w:line="280" w:lineRule="exact"/>
              <w:ind w:firstLine="48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Постановлением Министерства архитектуры и строительства Республики Беларусь от 30.06.2022 № 66 утверждена Инструкция о порядке определения вида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строительной деятельности и наименования объекта строительства. Такой документ, безусловно необходим для отрасли, устанавливая единые подходы как к наименованию объектов, так и для отнесения работ к видам строительства. Однако, применение ряда требований в Инструкции № 66 либо не представляется возможным, так как противоречит другим требованиям законодательства, либо ведет к чрезмерным затратам времени и средств.</w:t>
            </w:r>
          </w:p>
          <w:p w14:paraId="7395CAE1" w14:textId="504AB287" w:rsidR="005B07F2" w:rsidRPr="00DC1027" w:rsidRDefault="004401BF" w:rsidP="00DC1027">
            <w:pPr>
              <w:widowControl w:val="0"/>
              <w:spacing w:line="280" w:lineRule="exact"/>
              <w:ind w:firstLine="4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– </w:t>
            </w:r>
            <w:r w:rsidR="005B07F2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Согласно пункту 1 Инструкции № 66, ее требования не распространяются на работы, относящиеся к виду строительной деятельности: снос, текущий ремонт, ремонтно-реставрационные работы, консервацию объекта. Так как для отнесения к остальным видам строительной деятельности в Инструкции № 66 установлены критерии, то отсутствие таких критериев на упомянутые виды строительной деятельности не позволяет корректно пользоваться Инструкцией, что влечет нарушение требований законодательства. Например, при принятии решения об отнесении работ к реконструкции или к сносу, если на объекте предусматривается значительный (более 90%) объем демонтажа строительных конструкций и инженерных систем и последующее воссоздание строительного объема. Или, например, в случае сомнения в отнесении работ к текущему или капитальному ремонту, такие критерии в Инструкции №</w:t>
            </w:r>
            <w:r w:rsidR="004E5549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 </w:t>
            </w:r>
            <w:r w:rsidR="005B07F2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66 не содержатся.</w:t>
            </w:r>
          </w:p>
          <w:p w14:paraId="6B034317" w14:textId="478BC01D" w:rsidR="005B07F2" w:rsidRPr="00DC1027" w:rsidRDefault="004401BF" w:rsidP="00DC1027">
            <w:pPr>
              <w:pStyle w:val="20"/>
              <w:shd w:val="clear" w:color="auto" w:fill="auto"/>
              <w:spacing w:before="0" w:after="0" w:line="280" w:lineRule="exact"/>
              <w:ind w:left="-78" w:firstLine="567"/>
              <w:jc w:val="both"/>
            </w:pPr>
            <w:r w:rsidRPr="00DC1027">
              <w:rPr>
                <w:lang w:val="ru-RU"/>
              </w:rPr>
              <w:t xml:space="preserve">– </w:t>
            </w:r>
            <w:r w:rsidR="005B07F2" w:rsidRPr="00DC1027">
              <w:t>В пункте 11 Инструкции № 66 ограничивается возможность осуществления на одном объекте строительства нескольких видов строительной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деятельности.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А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в пункте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13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 xml:space="preserve">определены правила их поглощения друг другом при определении </w:t>
            </w:r>
            <w:r w:rsidR="005B07F2" w:rsidRPr="00DC1027">
              <w:lastRenderedPageBreak/>
              <w:t>единственного вида строительной деятельности. Данный подход не соответствует многолетней строительной</w:t>
            </w:r>
            <w:r w:rsidR="003D2B6D" w:rsidRPr="00DC1027">
              <w:rPr>
                <w:lang w:val="ru-RU"/>
              </w:rPr>
              <w:t xml:space="preserve"> </w:t>
            </w:r>
            <w:r w:rsidR="005B07F2" w:rsidRPr="00DC1027">
              <w:t>практике,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противоречит</w:t>
            </w:r>
            <w:r w:rsidR="005B07F2" w:rsidRPr="00DC1027">
              <w:rPr>
                <w:lang w:val="ru-RU"/>
              </w:rPr>
              <w:t xml:space="preserve"> </w:t>
            </w:r>
            <w:r w:rsidR="005B07F2" w:rsidRPr="00DC1027">
              <w:t>принимаемым решениям</w:t>
            </w:r>
            <w:r w:rsidRPr="00DC1027">
              <w:rPr>
                <w:lang w:val="ru-RU"/>
              </w:rPr>
              <w:t xml:space="preserve"> </w:t>
            </w:r>
            <w:r w:rsidR="005B07F2" w:rsidRPr="00DC1027">
              <w:t>исполкомов о разрешении строительства, государственным инвестиционным программам, программам проведения ремонтов, в которых предусматриваются объекты с несколькими видами строительства. Так, в случае включения в государственную программу объекта, в котором предусматривается одновременно реконструкция части здания и ремонт оставшейся части, то применение Инструкции № 66 к такому объекту становится невозможным.</w:t>
            </w:r>
          </w:p>
          <w:p w14:paraId="172B1309" w14:textId="0C7E5041" w:rsidR="00830353" w:rsidRPr="00DC1027" w:rsidRDefault="004401BF" w:rsidP="00DC1027">
            <w:pPr>
              <w:tabs>
                <w:tab w:val="left" w:pos="142"/>
              </w:tabs>
              <w:spacing w:line="280" w:lineRule="exact"/>
              <w:ind w:firstLine="4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9C7844" w:rsidRPr="00DC1027">
              <w:rPr>
                <w:rFonts w:ascii="Times New Roman" w:hAnsi="Times New Roman" w:cs="Times New Roman"/>
                <w:sz w:val="28"/>
                <w:szCs w:val="28"/>
              </w:rPr>
              <w:t>Пунктом 10 Инструкции № 66 установлен принцип выделения объекта строительства в качестве части здания, сооружения. Согласно ему, такая часть должна представлять собой пожарный отсек либо иметь регистрационные документы. Данный принцип не соответствует сложившейся многолетней практике, противоречит принимаемым решениям исполкомов о разрешении строительства, программам проведения ремонтов, в которых предусматриваются работы, не охватывающие в полном объеме пожарный отсек, а требуемые в соответствии с результатами обследования технического состояния строительных конструкций и инженерных систем здания</w:t>
            </w:r>
            <w:r w:rsidR="009C7844"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CCA6450" w14:textId="065CCAFD" w:rsidR="009C7844" w:rsidRPr="00DC1027" w:rsidRDefault="004401BF" w:rsidP="00DC1027">
            <w:pPr>
              <w:tabs>
                <w:tab w:val="left" w:pos="142"/>
              </w:tabs>
              <w:spacing w:line="280" w:lineRule="exact"/>
              <w:ind w:firstLine="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9C7844" w:rsidRPr="00DC1027">
              <w:rPr>
                <w:rFonts w:ascii="Times New Roman" w:hAnsi="Times New Roman" w:cs="Times New Roman"/>
                <w:sz w:val="28"/>
                <w:szCs w:val="28"/>
              </w:rPr>
              <w:t xml:space="preserve">Пунктом 14 Инструкции № 66 устанавливаются правила присвоения наименований объектам строительства, содержащие многочисленные коллизии, в том числе по рекурсивному включению в наименование объекта самого наименования объекта, а также указание полного адреса (для существующего здания, сооружения), и использование </w:t>
            </w:r>
            <w:r w:rsidR="009C7844" w:rsidRPr="00DC1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общегосударственного классификатора, в котором отсутствует информация, позволяющая идентифицировать назначение капитального строительства для абсолютного большинства видов объектов строительства. Согласно этим установленным правилам, в случае выделения очередей строительства, наименование будет присвоено отдельной очереди строительства, что превращает ее в самостоятельный объект строительства, на которые не распространяются требования ранее выданной разрешительной документации на объект в целом, и иные правоотношения. За весь период действия Инструкции № 66 не реализовывались объекты с наименованием, образованным согласно ее правилам</w:t>
            </w:r>
          </w:p>
          <w:p w14:paraId="1DE22EBF" w14:textId="53B2A1CE" w:rsidR="009C7844" w:rsidRPr="00DC1027" w:rsidRDefault="004401BF" w:rsidP="00DC1027">
            <w:pPr>
              <w:widowControl w:val="0"/>
              <w:tabs>
                <w:tab w:val="left" w:pos="1296"/>
              </w:tabs>
              <w:spacing w:line="280" w:lineRule="exact"/>
              <w:ind w:firstLine="489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– </w:t>
            </w:r>
            <w:r w:rsidR="009C7844"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В пункте 6 Инструкции № 66 квалификационным признаком </w:t>
            </w:r>
            <w:r w:rsidR="009C7844"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отнесения планируемых работ к реконструкции установлено, в том числе, использование объекта по новому назначению. В самой Инструкции № 66 для правил наименования объекта используется общегосударственный классификатор с перечнем видов функционального назначения. Однако, вместо того чтобы использовать этот общегосударственный классификатор, в Инструкции № 66 установлена в качестве критерия изменения назначения объекта - смена его класса функциональной пожарной опасности, определяемого по строительным нормам СИ 2.02.05- 2020 «Пожарная безопасность зданий и сооружений». При этом, согласно СН 2.02.05-2020 к одному и тому же классу относятся, например, аптеки и бани. И смена такого назначения, по мнению разработчиков Инструкции №</w:t>
            </w:r>
            <w:r w:rsidR="009C7844"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ab/>
              <w:t xml:space="preserve">66 не являемся признаком реконструкции, что противоречит многолетней сложившейся строительной практике, </w:t>
            </w:r>
            <w:r w:rsidR="009C7844"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принимаемым решениям исполкомов о разрешении строительства. У этих видов объектов совершенно различаются требования безопасности, требования к объемно-планировочным и инженерным системам, что свидетельствует о невозможности применения на практике данной нормы Инструкции № 66.</w:t>
            </w:r>
          </w:p>
          <w:p w14:paraId="4BBE5167" w14:textId="636AAF61" w:rsidR="009C7844" w:rsidRPr="00DC1027" w:rsidRDefault="004401BF" w:rsidP="00DC1027">
            <w:pPr>
              <w:pStyle w:val="20"/>
              <w:shd w:val="clear" w:color="auto" w:fill="auto"/>
              <w:tabs>
                <w:tab w:val="left" w:pos="1296"/>
              </w:tabs>
              <w:spacing w:before="0" w:after="0" w:line="280" w:lineRule="exact"/>
              <w:ind w:firstLine="489"/>
              <w:jc w:val="both"/>
            </w:pPr>
            <w:r w:rsidRPr="00DC1027">
              <w:rPr>
                <w:lang w:val="ru-RU"/>
              </w:rPr>
              <w:t xml:space="preserve">– </w:t>
            </w:r>
            <w:r w:rsidR="009C7844" w:rsidRPr="00DC1027">
              <w:t>В пункте 6 Инструкции № 66 квалификационным признаком отнесения планируемых работ к реконструкции установлено, в том числе,</w:t>
            </w:r>
          </w:p>
          <w:p w14:paraId="5F45CADC" w14:textId="77777777" w:rsidR="009C7844" w:rsidRPr="00DC1027" w:rsidRDefault="009C7844" w:rsidP="00DC1027">
            <w:pPr>
              <w:pStyle w:val="20"/>
              <w:shd w:val="clear" w:color="auto" w:fill="auto"/>
              <w:spacing w:before="0" w:after="0" w:line="280" w:lineRule="exact"/>
              <w:jc w:val="both"/>
            </w:pPr>
            <w:r w:rsidRPr="00DC1027">
              <w:t>изменение его основных технико-экономических показателей и параметров, определенных в Инструкции № 66 для объектов различного назначения. Однако, перечень этих показателей не соответствует показателям, установленным строительными нормами СН 1.02.02-2023 «Состав и содержание проектной документации». В частности, показатели пропускная способность (мощность), число ниток, диаметр, перечисленные в Инструкции в отношении инженерных коммуникаций, в СН 1.02.02-2023 не установлены. Из пяти установленных в Инструкции № 66 показателей в отношении транспортных коммуникаций, в СН 1.02.02-2023 установлен лишь один из них. Аналогичная ситуация с отсутствием установленных Инструкцией № 66 показателей в СН 1.02.02- 2023 в отношении жилых и общественных зданий.</w:t>
            </w:r>
          </w:p>
          <w:p w14:paraId="13845016" w14:textId="5B08D968" w:rsidR="009C7844" w:rsidRPr="00DC1027" w:rsidRDefault="004401BF" w:rsidP="00DC1027">
            <w:pPr>
              <w:pStyle w:val="20"/>
              <w:shd w:val="clear" w:color="auto" w:fill="auto"/>
              <w:tabs>
                <w:tab w:val="left" w:pos="2518"/>
              </w:tabs>
              <w:spacing w:before="0" w:after="0" w:line="280" w:lineRule="exact"/>
              <w:ind w:firstLine="504"/>
              <w:jc w:val="both"/>
            </w:pPr>
            <w:r w:rsidRPr="00DC1027">
              <w:rPr>
                <w:lang w:val="ru-RU"/>
              </w:rPr>
              <w:t xml:space="preserve">– </w:t>
            </w:r>
            <w:r w:rsidR="009C7844" w:rsidRPr="00DC1027">
              <w:t xml:space="preserve">В пункте 8 Инструкции № 66 установлены квалификационные признаки технической модернизации объекта. К ним отнесено, в том числе, выполнение работ внутри производственных зданий, а также возможность установки нового технологического оборудования. Оба упомянутых признака противоречат определению термина «техническая модернизация», установленному пунктом 1.85 статьи 1 Кодекса. </w:t>
            </w:r>
            <w:r w:rsidR="009C7844" w:rsidRPr="00DC1027">
              <w:lastRenderedPageBreak/>
              <w:t>Предложенное в Инструкции № 66 расширенное трактование норм Кодекса не соответствует нормотворческой технике и создает противоречия в законодательстве. Согласно статье 70 Кодекса, к технологическому оборудованию допускается относить, в том числе, медицинскую технику. Соответственно, замена медицинской техники в медицинском учреждении, сопровождающаяся необходимым</w:t>
            </w:r>
            <w:r w:rsidR="009C7844" w:rsidRPr="00DC1027">
              <w:rPr>
                <w:lang w:val="ru-RU"/>
              </w:rPr>
              <w:t>и</w:t>
            </w:r>
            <w:r w:rsidR="009C7844" w:rsidRPr="00DC1027">
              <w:t xml:space="preserve"> строительно</w:t>
            </w:r>
            <w:r w:rsidR="009C7844" w:rsidRPr="00DC1027">
              <w:rPr>
                <w:lang w:val="ru-RU"/>
              </w:rPr>
              <w:t>-</w:t>
            </w:r>
            <w:r w:rsidR="009C7844" w:rsidRPr="00DC1027">
              <w:t>монтажными работами, может квалифицироваться как техническая модернизация, в то время как Инструкция № 66 этого не допускает. Установка же нового технологического оборудования, допускаемая Инструкцией №</w:t>
            </w:r>
            <w:r w:rsidR="009C7844" w:rsidRPr="00DC1027">
              <w:rPr>
                <w:lang w:val="ru-RU"/>
              </w:rPr>
              <w:t xml:space="preserve"> </w:t>
            </w:r>
            <w:r w:rsidR="009C7844" w:rsidRPr="00DC1027">
              <w:t>66, является признаком модернизации согласно определению этого термина в Кодексе:</w:t>
            </w:r>
          </w:p>
          <w:p w14:paraId="560120A0" w14:textId="1B5E8EB5" w:rsidR="009C7844" w:rsidRPr="00DC1027" w:rsidRDefault="009C7844" w:rsidP="00DC1027">
            <w:pPr>
              <w:pStyle w:val="20"/>
              <w:shd w:val="clear" w:color="auto" w:fill="auto"/>
              <w:spacing w:before="0" w:after="0" w:line="280" w:lineRule="exact"/>
              <w:ind w:firstLine="489"/>
              <w:jc w:val="both"/>
            </w:pPr>
            <w:r w:rsidRPr="00DC1027">
              <w:t xml:space="preserve">«модернизация </w:t>
            </w:r>
            <w:r w:rsidRPr="00DC1027">
              <w:rPr>
                <w:lang w:val="ru-RU"/>
              </w:rPr>
              <w:t>–</w:t>
            </w:r>
            <w:r w:rsidRPr="00DC1027">
              <w:t xml:space="preserve"> совокупность строительно-монтажных работ (в том числе устройство новых инженерных систем и оборудования в объектах, их частях, перенос и (или) установка перегородок без изменения назначения объектов в их существующих габаритах, инженерных и транспортных коммуникаций), пусконаладочных работ и организационно- технических мероприятий, связанных с повышением потребительских качеств объектов, инженерных и транспортных коммуникаций, их частей и (или) элементов, приведением эксплуатационных показателей к уровню обязательных для соблюдения требований технических нормативных правовых актов».</w:t>
            </w:r>
          </w:p>
          <w:p w14:paraId="0C6C8601" w14:textId="0E9C5128" w:rsidR="009C7844" w:rsidRPr="00DC1027" w:rsidRDefault="009C7844" w:rsidP="00DC1027">
            <w:pPr>
              <w:tabs>
                <w:tab w:val="left" w:pos="142"/>
              </w:tabs>
              <w:spacing w:line="280" w:lineRule="exact"/>
              <w:ind w:firstLine="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14:paraId="52513E85" w14:textId="365ED929" w:rsidR="00830353" w:rsidRPr="00DC1027" w:rsidRDefault="00734170" w:rsidP="00DC1027">
            <w:pPr>
              <w:spacing w:line="280" w:lineRule="exact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Принятие соответствующих ТНПА </w:t>
            </w: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Министерства архитектуры и строительства</w:t>
            </w:r>
          </w:p>
        </w:tc>
        <w:tc>
          <w:tcPr>
            <w:tcW w:w="3469" w:type="dxa"/>
          </w:tcPr>
          <w:p w14:paraId="3A5D9B2C" w14:textId="7E314C62" w:rsidR="00830353" w:rsidRPr="00DC1027" w:rsidRDefault="00734170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Республиканское унитарное предприятие «Главгосстройэкспертиза»</w:t>
            </w:r>
          </w:p>
        </w:tc>
      </w:tr>
      <w:tr w:rsidR="009C7844" w:rsidRPr="00DC1027" w14:paraId="00D3F148" w14:textId="77777777" w:rsidTr="00D72821">
        <w:tc>
          <w:tcPr>
            <w:tcW w:w="803" w:type="dxa"/>
          </w:tcPr>
          <w:p w14:paraId="693EAF1C" w14:textId="6E78F848" w:rsidR="00830353" w:rsidRPr="00DC1027" w:rsidRDefault="004401BF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6874" w:type="dxa"/>
          </w:tcPr>
          <w:p w14:paraId="1D4A2D26" w14:textId="77777777" w:rsidR="00830353" w:rsidRPr="00DC1027" w:rsidRDefault="004401BF" w:rsidP="00DC1027">
            <w:pPr>
              <w:spacing w:line="280" w:lineRule="exact"/>
              <w:ind w:firstLine="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требований к проектным организациям, выполняющим функции «Генеральный проектировщик», а также восстановление требований к </w:t>
            </w:r>
            <w:r w:rsidRPr="00DC1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специалистам, выполняющим функции «Главный инженер проекта», «Главный архитектор проекта» позволит усилить их роль, ответственность разработчиков и повысить в итоге общее качество разработки проектной документации. В настоящее время данные функции нормативно не установлены.</w:t>
            </w:r>
          </w:p>
          <w:p w14:paraId="251F0873" w14:textId="77777777" w:rsidR="004E5549" w:rsidRPr="00DC1027" w:rsidRDefault="004E5549" w:rsidP="00DC1027">
            <w:pPr>
              <w:widowControl w:val="0"/>
              <w:spacing w:line="280" w:lineRule="exact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Ранее действовавшее Положение о генеральном проектировщике, утвержденное приказом Министерства архитектуры и строительства от 31.08.1999 №262 отменено в 2014 году. Также, отменен в 2018 году и технический кодекс установившейся практики ТКИ 45-1.02-120-2008 «Порядок организации управления проектированием. Главный инженер (главный архитектор) проектов». Данными документами устанавливались основные функции, осуществляемые генеральными проектировщиками и его специалистами.</w:t>
            </w:r>
          </w:p>
          <w:p w14:paraId="3293F048" w14:textId="77777777" w:rsidR="004E5549" w:rsidRPr="00DC1027" w:rsidRDefault="004E5549" w:rsidP="00DC1027">
            <w:pPr>
              <w:widowControl w:val="0"/>
              <w:spacing w:line="280" w:lineRule="exact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Представляется целесообразным вначале восстановить нормативные требования к таким юридическим лицам, а затем определить квалификационные требования к ним при аттестации на право осуществлять данные функции.</w:t>
            </w:r>
          </w:p>
          <w:p w14:paraId="7075BF16" w14:textId="5FB31952" w:rsidR="004E5549" w:rsidRPr="00DC1027" w:rsidRDefault="004E5549" w:rsidP="00DC1027">
            <w:pPr>
              <w:widowControl w:val="0"/>
              <w:tabs>
                <w:tab w:val="left" w:pos="2918"/>
                <w:tab w:val="left" w:pos="5957"/>
              </w:tabs>
              <w:spacing w:line="280" w:lineRule="exact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Также, в соответствии с принципами и функциями, возложенными на главных инженеров (архитекторов) проекта, необходимо обязать организации-разработчиков проектной документации, так же, как и генеральных проектировщиков, назначать главного инженера (архитектора) проекта при разработке разделов проекта собственными силами, без привлечения 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субпроектных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организаций. С этой целью в квалификационных требованиях к таким организациям следует предусматривать в штате предприятия наличие аттестованных сотрудников на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главных инженеров (архитекторов) проекта.</w:t>
            </w:r>
          </w:p>
          <w:p w14:paraId="24D0C36E" w14:textId="28F6C0AB" w:rsidR="004E5549" w:rsidRPr="00DC1027" w:rsidRDefault="004E5549" w:rsidP="00DC1027">
            <w:pPr>
              <w:widowControl w:val="0"/>
              <w:spacing w:line="280" w:lineRule="exact"/>
              <w:ind w:firstLine="7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62924B46" w14:textId="77777777" w:rsidR="004E5549" w:rsidRPr="00DC1027" w:rsidRDefault="004E5549" w:rsidP="00DC1027">
            <w:pPr>
              <w:widowControl w:val="0"/>
              <w:spacing w:line="280" w:lineRule="exact"/>
              <w:ind w:firstLine="44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Данное предложение может быть реализовано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путем утверждения Министерством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архитектуры и строительства соответствующих положений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.</w:t>
            </w:r>
          </w:p>
          <w:p w14:paraId="35296473" w14:textId="77777777" w:rsidR="00830353" w:rsidRPr="00DC1027" w:rsidRDefault="00830353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77E608E8" w14:textId="43F5BAC9" w:rsidR="00830353" w:rsidRPr="00DC1027" w:rsidRDefault="00734170" w:rsidP="00DC1027">
            <w:pPr>
              <w:spacing w:line="280" w:lineRule="exact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Республиканское унитарное предприятие «Главгосстройэкспертиза»</w:t>
            </w:r>
          </w:p>
        </w:tc>
      </w:tr>
      <w:tr w:rsidR="009C7844" w:rsidRPr="00DC1027" w14:paraId="314C1B3C" w14:textId="77777777" w:rsidTr="00D72821">
        <w:tc>
          <w:tcPr>
            <w:tcW w:w="803" w:type="dxa"/>
          </w:tcPr>
          <w:p w14:paraId="5DDC1259" w14:textId="0FAE43DB" w:rsidR="00830353" w:rsidRPr="00DC1027" w:rsidRDefault="004E5549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6874" w:type="dxa"/>
          </w:tcPr>
          <w:p w14:paraId="6A0F0860" w14:textId="77777777" w:rsidR="001413BA" w:rsidRPr="00DC1027" w:rsidRDefault="001413BA" w:rsidP="00DC1027">
            <w:pPr>
              <w:widowControl w:val="0"/>
              <w:tabs>
                <w:tab w:val="left" w:pos="2918"/>
                <w:tab w:val="left" w:pos="3967"/>
                <w:tab w:val="left" w:pos="5957"/>
              </w:tabs>
              <w:spacing w:line="280" w:lineRule="exact"/>
              <w:ind w:firstLine="4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Согласно пункту 1 статьи 72 Кодекса, проектная документация по объектам, на которых не начато выполнение строительно-монтажных работ в течение двух лет после получения заключения 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госстройэкспертизы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, является неактуальной и подлежит актуализации, прохождению повторной 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госстройэкспертизы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и утверждению. Эта норма вводит ограничения на строительство морально устаревших объектов, однако ее формальное исполнение в ряде случаев не приводит к достижению поставленной цели, а лишь к избыточным затратам времени и средств.</w:t>
            </w:r>
          </w:p>
          <w:p w14:paraId="5DC131AD" w14:textId="77777777" w:rsidR="001413BA" w:rsidRPr="00DC1027" w:rsidRDefault="001413BA" w:rsidP="00DC1027">
            <w:pPr>
              <w:widowControl w:val="0"/>
              <w:spacing w:line="280" w:lineRule="exact"/>
              <w:ind w:firstLine="4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Так, в пункте 38-1 Положения о порядке разработки, согласования и утверждения градостроительных проектов, проектной документации, утвержденного постановлением Совета Министров Республики Беларусь от 08.10.2008 № 1476 (далее - Положение № 1476), установлен порядок актуализации ставшей неактуальной документации. При этом, помимо</w:t>
            </w:r>
          </w:p>
          <w:p w14:paraId="579B9BC7" w14:textId="77777777" w:rsidR="001413BA" w:rsidRPr="00DC1027" w:rsidRDefault="001413BA" w:rsidP="00DC1027">
            <w:pPr>
              <w:widowControl w:val="0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необходимости изменения проектных решений в связи с изменением требований безопасности, должны пересматриваться разрешительная документация, исходные данные и решения предпроектной стадии.</w:t>
            </w:r>
          </w:p>
          <w:p w14:paraId="07B40AA5" w14:textId="721AE1C4" w:rsidR="001413BA" w:rsidRPr="00DC1027" w:rsidRDefault="001413BA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Однако на практике, в ряде случаев все, что делает разработчик проектной документации, сводится к банальному переоформлению и повторному выпуску тех же чертежей, в которых меняются ссылки на другие ТНПА. При этом сами проектные решения не изменяются, так как при вводе новых ТНПА не изменялись ранее содержащиеся в них требования. Необходимость же полного переоформления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обусловлена изменившимися требованиями к составу документации или наименованию ее разделов. Аналогичные действия происходят при обращении заказчика за изменением разрешительной документации, с получением подтверждения о том, что ранее полученные технические условия действительны.</w:t>
            </w:r>
          </w:p>
          <w:p w14:paraId="21091E41" w14:textId="77777777" w:rsidR="001413BA" w:rsidRPr="00DC1027" w:rsidRDefault="001413BA" w:rsidP="00DC1027">
            <w:pPr>
              <w:widowControl w:val="0"/>
              <w:spacing w:line="280" w:lineRule="exact"/>
              <w:ind w:firstLine="48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Такие формальные действия откладывают реализацию объектов, но не приводят к повышению их безопасности или потребительских качеств, при очевидном расходовании бюджетных средств.</w:t>
            </w:r>
          </w:p>
          <w:p w14:paraId="5EB8CD34" w14:textId="77777777" w:rsidR="00830353" w:rsidRPr="00DC1027" w:rsidRDefault="00830353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543BC74D" w14:textId="4050C0C0" w:rsidR="00830353" w:rsidRPr="00DC1027" w:rsidRDefault="001413BA" w:rsidP="00DC1027">
            <w:pPr>
              <w:spacing w:line="280" w:lineRule="exact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Необходимо установление дифференцированных правил актуализации, и возможности определения объема и степени обновления проекта по усмотрению заказчика объекта. Например, если срок начала строительства не превышает трех лет, то допускать ограничиваться лишь пересчетом сметной стоимости строительства. А в случае превышения десяти лет, то и пересмотр вопросов безопасности.</w:t>
            </w:r>
          </w:p>
        </w:tc>
        <w:tc>
          <w:tcPr>
            <w:tcW w:w="3469" w:type="dxa"/>
          </w:tcPr>
          <w:p w14:paraId="72A52645" w14:textId="7EA09714" w:rsidR="00830353" w:rsidRPr="00DC1027" w:rsidRDefault="00734170" w:rsidP="00DC1027">
            <w:pPr>
              <w:spacing w:line="280" w:lineRule="exact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Республиканское унитарное предприятие «Главгосстройэкспертиза»</w:t>
            </w:r>
          </w:p>
        </w:tc>
      </w:tr>
      <w:tr w:rsidR="009C7844" w:rsidRPr="00DC1027" w14:paraId="732353FA" w14:textId="77777777" w:rsidTr="00D72821">
        <w:tc>
          <w:tcPr>
            <w:tcW w:w="803" w:type="dxa"/>
          </w:tcPr>
          <w:p w14:paraId="4FBD9F5E" w14:textId="06085E41" w:rsidR="00830353" w:rsidRPr="00DC1027" w:rsidRDefault="001413BA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874" w:type="dxa"/>
          </w:tcPr>
          <w:p w14:paraId="164032B8" w14:textId="6EC8CC9F" w:rsidR="004A761B" w:rsidRPr="00DC1027" w:rsidRDefault="004A761B" w:rsidP="00DC1027">
            <w:pPr>
              <w:widowControl w:val="0"/>
              <w:tabs>
                <w:tab w:val="left" w:pos="6466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Разработчики проектной документацию вовлекаются в процесс устранения последствий некачественного выполнения строительно-монтажных работ на объекте. Однако, брак в строительстве не должен приниматься, оплачиваться, узакониваться путем включения в проектную документацию на основании задания на проектирование, и подтверждаться при 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госстройэкспертизе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.</w:t>
            </w:r>
          </w:p>
          <w:p w14:paraId="3897B96F" w14:textId="77777777" w:rsidR="00830353" w:rsidRPr="00DC1027" w:rsidRDefault="00830353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5373E69E" w14:textId="466DDBD9" w:rsidR="00830353" w:rsidRPr="00DC1027" w:rsidRDefault="004A761B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Усиление контроля и надзора за соблюдением требований проектной документации.</w:t>
            </w:r>
          </w:p>
        </w:tc>
        <w:tc>
          <w:tcPr>
            <w:tcW w:w="3469" w:type="dxa"/>
          </w:tcPr>
          <w:p w14:paraId="2FB19A76" w14:textId="362B55B3" w:rsidR="00830353" w:rsidRPr="00DC1027" w:rsidRDefault="00734170" w:rsidP="00DC1027">
            <w:pPr>
              <w:spacing w:line="280" w:lineRule="exact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Республиканское унитарное предприятие «Главгосстройэкспертиза»</w:t>
            </w:r>
          </w:p>
        </w:tc>
      </w:tr>
      <w:tr w:rsidR="009C7844" w:rsidRPr="00DC1027" w14:paraId="13EE505B" w14:textId="77777777" w:rsidTr="00D72821">
        <w:tc>
          <w:tcPr>
            <w:tcW w:w="803" w:type="dxa"/>
          </w:tcPr>
          <w:p w14:paraId="2D5993FC" w14:textId="044F0D43" w:rsidR="00830353" w:rsidRPr="00DC1027" w:rsidRDefault="004A761B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874" w:type="dxa"/>
          </w:tcPr>
          <w:p w14:paraId="3116C63F" w14:textId="77777777" w:rsidR="009A21D8" w:rsidRPr="00DC1027" w:rsidRDefault="009A21D8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Ситуация с обязательностью требований в строительстве остается непрозрачной на протяжении нескольких лет. Одновременно действуют, и содержат требования к зданиям и сооружениям, в том числе требования безопасности, следующие виды ТИПА:</w:t>
            </w:r>
          </w:p>
          <w:p w14:paraId="3F2D75BD" w14:textId="62DE9DCC" w:rsidR="009A21D8" w:rsidRPr="00DC1027" w:rsidRDefault="009A21D8" w:rsidP="00DC1027">
            <w:pPr>
              <w:widowControl w:val="0"/>
              <w:tabs>
                <w:tab w:val="left" w:pos="2268"/>
                <w:tab w:val="left" w:pos="4385"/>
                <w:tab w:val="left" w:pos="6845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технический регламент Республики Беларусь «Здания и сооружения, строительные материалы и изделия. Безопасность» ТР 2009/013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bidi="en-US"/>
                <w14:ligatures w14:val="none"/>
              </w:rPr>
              <w:t>/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bidi="en-US"/>
                <w14:ligatures w14:val="none"/>
              </w:rPr>
              <w:t>BY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bidi="en-US"/>
                <w14:ligatures w14:val="none"/>
              </w:rPr>
              <w:t>,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 перечнем взаимосвязанных с ним ТНПА, утвержденным постановлением Министерства архитектуры и строительства от 04.03.2016 № 7;</w:t>
            </w:r>
          </w:p>
          <w:p w14:paraId="4E0AA329" w14:textId="77777777" w:rsidR="009A21D8" w:rsidRPr="00DC1027" w:rsidRDefault="009A21D8" w:rsidP="00DC1027">
            <w:pPr>
              <w:widowControl w:val="0"/>
              <w:tabs>
                <w:tab w:val="left" w:pos="898"/>
              </w:tabs>
              <w:spacing w:line="280" w:lineRule="exact"/>
              <w:ind w:left="-63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технические регламенты Таможенного союза (ТР ТС), технические регламенты Евразийского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экономического союза (ТР ЕАЭС);</w:t>
            </w:r>
          </w:p>
          <w:p w14:paraId="09222B06" w14:textId="77777777" w:rsidR="009A21D8" w:rsidRPr="00DC1027" w:rsidRDefault="009A21D8" w:rsidP="00DC1027">
            <w:pPr>
              <w:widowControl w:val="0"/>
              <w:tabs>
                <w:tab w:val="left" w:pos="898"/>
              </w:tabs>
              <w:spacing w:line="280" w:lineRule="exact"/>
              <w:ind w:left="79"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строительные нормы (СН) и строительные правила (СП), не относящиеся к области технического нормирования и стандартизации;</w:t>
            </w:r>
          </w:p>
          <w:p w14:paraId="7ED93175" w14:textId="77777777" w:rsidR="009A21D8" w:rsidRPr="00DC1027" w:rsidRDefault="009A21D8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технические кодексы установившейся практики (ТКП), государственные стандарты (ГОСТ), относящиеся к области технического нормирования и стандартизации;</w:t>
            </w:r>
          </w:p>
          <w:p w14:paraId="6D4B631E" w14:textId="77777777" w:rsidR="009A21D8" w:rsidRPr="00DC1027" w:rsidRDefault="009A21D8" w:rsidP="00DC1027">
            <w:pPr>
              <w:widowControl w:val="0"/>
              <w:tabs>
                <w:tab w:val="left" w:pos="1056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санитарные нормы и правила, гигиенические нормативы, экологические нормы и правила, нормы и правила по обеспечению технической, промышленной, ядерной и радиационной безопасности, - не относящиеся к области технического нормирования и стандартизации;</w:t>
            </w:r>
          </w:p>
          <w:p w14:paraId="00265B6E" w14:textId="5A8E433B" w:rsidR="009A21D8" w:rsidRPr="00DC1027" w:rsidRDefault="009A21D8" w:rsidP="00DC1027">
            <w:pPr>
              <w:widowControl w:val="0"/>
              <w:tabs>
                <w:tab w:val="left" w:pos="952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ТНПА СССР и БССР.</w:t>
            </w:r>
          </w:p>
          <w:p w14:paraId="5E4D6211" w14:textId="77777777" w:rsidR="009A21D8" w:rsidRPr="00DC1027" w:rsidRDefault="009A21D8" w:rsidP="00DC1027">
            <w:pPr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По отдельным направлениям проектной деятельности не приняты обязательные для соблюдения СН, а лишь введены в действие строительные правила. Ссылки на эти СП ни в НПА</w:t>
            </w: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ни в СН и других ТНПА не влекут обязательности их соблюдения. Как, например, ряд СП по проектированию строительных конструкций, содержащих методики прочностных расчетов.</w:t>
            </w:r>
          </w:p>
          <w:p w14:paraId="1EB61816" w14:textId="059E478E" w:rsidR="009A21D8" w:rsidRPr="00DC1027" w:rsidRDefault="009A21D8" w:rsidP="00DC1027">
            <w:pPr>
              <w:widowControl w:val="0"/>
              <w:tabs>
                <w:tab w:val="left" w:pos="952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Приведенные обстоятельства создают противоречия применения обязательных требований, включая требования безопасности. </w:t>
            </w:r>
            <w:proofErr w:type="spellStart"/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Неурегулированность</w:t>
            </w:r>
            <w:proofErr w:type="spellEnd"/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вопросов ссылок на Т</w:t>
            </w:r>
            <w:r w:rsidR="00F70EEB"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ПА и ссылок, содержащихся в различных видах Т</w:t>
            </w:r>
            <w:r w:rsidR="00F70EEB"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ПА приводит к запутанности и неоднозначности трактования нормативных предписаний. С вступлением в силу Кодекса эти вопросы не были решены.</w:t>
            </w:r>
          </w:p>
          <w:p w14:paraId="608EEF41" w14:textId="77777777" w:rsidR="00830353" w:rsidRPr="00DC1027" w:rsidRDefault="00830353" w:rsidP="00DC1027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13C83B9F" w14:textId="1B99B377" w:rsidR="00830353" w:rsidRPr="00DC1027" w:rsidRDefault="009A21D8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Принятие соответствующих </w:t>
            </w:r>
            <w:r w:rsidR="00734170"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ТНПА Министерства архитектуры и строительства</w:t>
            </w:r>
          </w:p>
        </w:tc>
        <w:tc>
          <w:tcPr>
            <w:tcW w:w="3469" w:type="dxa"/>
          </w:tcPr>
          <w:p w14:paraId="667D801B" w14:textId="043F0BC5" w:rsidR="00830353" w:rsidRPr="00DC1027" w:rsidRDefault="00734170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Республиканское унитарное предприятие «Главгосстройэкспертиза»</w:t>
            </w:r>
          </w:p>
        </w:tc>
      </w:tr>
      <w:tr w:rsidR="00A40E8F" w:rsidRPr="00DC1027" w14:paraId="601CC361" w14:textId="77777777" w:rsidTr="00D72821">
        <w:tc>
          <w:tcPr>
            <w:tcW w:w="803" w:type="dxa"/>
          </w:tcPr>
          <w:p w14:paraId="26A0CD93" w14:textId="7661C19A" w:rsidR="00A40E8F" w:rsidRPr="00DC1027" w:rsidRDefault="00A40E8F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6874" w:type="dxa"/>
          </w:tcPr>
          <w:p w14:paraId="1F4D3426" w14:textId="20838926" w:rsidR="00A40E8F" w:rsidRPr="00DC1027" w:rsidRDefault="00A40E8F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В соответствии с письмом Министерства архитектуры и строительства Республики Беларусь от 03.05.2023 N 02-1-03/5825 «О применении постановления Минстройархитектуры от 30 июня 2022 г. №66», разъясняющим применение Инструкции о порядке определения вида строительной деятельности и наименования объекта строительной деятельности, отнесение к </w:t>
            </w:r>
            <w:r w:rsidRPr="00DC1027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одному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объекту строительства комплекса зданий и сооружений возможно только при возведении.</w:t>
            </w:r>
          </w:p>
          <w:p w14:paraId="641A5EE2" w14:textId="77777777" w:rsidR="00A40E8F" w:rsidRPr="00DC1027" w:rsidRDefault="00A40E8F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Данные нормы не всегда применимы на практике. Так, например, это невозможно для объектов реконструкции молочно-товарных комплексов.</w:t>
            </w:r>
          </w:p>
          <w:p w14:paraId="01FB5959" w14:textId="6ACA0B24" w:rsidR="00A40E8F" w:rsidRPr="00DC1027" w:rsidRDefault="00A40E8F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229F4FC0" w14:textId="623F7B95" w:rsidR="00A40E8F" w:rsidRPr="00DC1027" w:rsidRDefault="00A40E8F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 соответствующих ТНПА Министерства архитектуры и строительства</w:t>
            </w:r>
          </w:p>
        </w:tc>
        <w:tc>
          <w:tcPr>
            <w:tcW w:w="3469" w:type="dxa"/>
          </w:tcPr>
          <w:p w14:paraId="54C336DE" w14:textId="48A01B83" w:rsidR="00A40E8F" w:rsidRPr="00DC1027" w:rsidRDefault="00A40E8F" w:rsidP="00DC1027">
            <w:pPr>
              <w:spacing w:line="280" w:lineRule="exact"/>
              <w:ind w:firstLine="2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«Государственный проектный институт «Могилевагропромпроект»</w:t>
            </w:r>
          </w:p>
        </w:tc>
      </w:tr>
      <w:tr w:rsidR="00A40E8F" w:rsidRPr="00DC1027" w14:paraId="5B2D1173" w14:textId="77777777" w:rsidTr="00D72821">
        <w:tc>
          <w:tcPr>
            <w:tcW w:w="803" w:type="dxa"/>
          </w:tcPr>
          <w:p w14:paraId="51184C1E" w14:textId="7B96E0F6" w:rsidR="00A40E8F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874" w:type="dxa"/>
          </w:tcPr>
          <w:p w14:paraId="0A6FCC5F" w14:textId="77777777" w:rsidR="00D72821" w:rsidRPr="00DC1027" w:rsidRDefault="00D72821" w:rsidP="00DC1027">
            <w:pPr>
              <w:widowControl w:val="0"/>
              <w:tabs>
                <w:tab w:val="left" w:pos="1790"/>
              </w:tabs>
              <w:spacing w:line="280" w:lineRule="exac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Отсутствие информации о примененных в проектной документации материалов, изделий и конструкций производство которых отсутствует в Республики Беларусь (импортные материалы). Из-за введенных санкций сроки поставки импортных материалов значительно увеличились либо отсутствует возможность их приобрести.</w:t>
            </w:r>
          </w:p>
          <w:p w14:paraId="2C2D0EAA" w14:textId="77777777" w:rsidR="00A40E8F" w:rsidRPr="00DC1027" w:rsidRDefault="00A40E8F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5ED8E0F8" w14:textId="77777777" w:rsidR="00A40E8F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Разработать новый нормативный акт, в котором обязать проектные организации применять импортные материалы только при отсутствии аналогов, производимых в Беларуси, а в случае их применения в проектной документации составлять отдельную ведомость на них в сметной документации и при необходимости (в случае отсутствия на рынке конкретных материалов) производить корректировку проектных решений за счет проектных организаций.</w:t>
            </w:r>
          </w:p>
          <w:p w14:paraId="1E86D8B9" w14:textId="77777777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985B96" w14:textId="413B6462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0AFE5C71" w14:textId="40B5AC17" w:rsidR="00A40E8F" w:rsidRPr="00DC1027" w:rsidRDefault="00D72821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D72821" w:rsidRPr="00DC1027" w14:paraId="168C068E" w14:textId="77777777" w:rsidTr="00D72821">
        <w:tc>
          <w:tcPr>
            <w:tcW w:w="803" w:type="dxa"/>
          </w:tcPr>
          <w:p w14:paraId="2D37836B" w14:textId="22F63EB6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6874" w:type="dxa"/>
          </w:tcPr>
          <w:p w14:paraId="25C4E329" w14:textId="77777777" w:rsidR="00D72821" w:rsidRPr="00DC1027" w:rsidRDefault="00D72821" w:rsidP="00DC1027">
            <w:pPr>
              <w:widowControl w:val="0"/>
              <w:tabs>
                <w:tab w:val="left" w:pos="1785"/>
              </w:tabs>
              <w:spacing w:line="280" w:lineRule="exact"/>
              <w:ind w:right="160"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Не соответствие утвержденных оптимальных показателей задела в строительстве (табл. 4.4. СП 1.03.11-2023 Продолжительность строительства. Оптимальная продолжительность выполнения строительно-монтажных работ на объектах строительства. Порядок определения (далее - СП 1.03.11) фактической технологии выполнения работ на объектах.</w:t>
            </w:r>
          </w:p>
          <w:p w14:paraId="45B9779D" w14:textId="77777777" w:rsidR="00D72821" w:rsidRPr="00DC1027" w:rsidRDefault="00D72821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6C385EE8" w14:textId="77777777" w:rsidR="00D72821" w:rsidRPr="00DC1027" w:rsidRDefault="00D72821" w:rsidP="00DC1027">
            <w:pPr>
              <w:widowControl w:val="0"/>
              <w:spacing w:line="280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Нормы задела возможно определить с применением сметной стоимости строительства объекта (в ценах на дату разработки проектной документации). При этом целесообразно составлять локальные сметы по видам работ, а их стоимость распределить по календарному графику производства работ согласно технологии выполнения работ (по проекту организации строительства). На основании полученного стоимостного графика в разрезе локальных смет расчетным путем определить нормы задела для конкретного объекта.</w:t>
            </w:r>
          </w:p>
          <w:p w14:paraId="499DD6B4" w14:textId="77777777" w:rsidR="00D72821" w:rsidRPr="00DC1027" w:rsidRDefault="00D72821" w:rsidP="00DC1027">
            <w:pPr>
              <w:widowControl w:val="0"/>
              <w:spacing w:line="280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В качестве альтернативного варианта, можно утвердить дополнения в СП 1.03.11 для строительства крупнопанельных домов и зданий.</w:t>
            </w:r>
          </w:p>
          <w:p w14:paraId="772E9068" w14:textId="77777777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5066E5D5" w14:textId="2C928EB5" w:rsidR="00D72821" w:rsidRPr="00DC1027" w:rsidRDefault="00D72821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D72821" w:rsidRPr="00DC1027" w14:paraId="10DEA4E7" w14:textId="77777777" w:rsidTr="00D72821">
        <w:tc>
          <w:tcPr>
            <w:tcW w:w="803" w:type="dxa"/>
          </w:tcPr>
          <w:p w14:paraId="3EE50087" w14:textId="223B6087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874" w:type="dxa"/>
          </w:tcPr>
          <w:p w14:paraId="3DC0B360" w14:textId="77777777" w:rsidR="00D72821" w:rsidRPr="00DC1027" w:rsidRDefault="00D72821" w:rsidP="00DC1027">
            <w:pPr>
              <w:widowControl w:val="0"/>
              <w:tabs>
                <w:tab w:val="left" w:pos="1785"/>
              </w:tabs>
              <w:spacing w:line="280" w:lineRule="exact"/>
              <w:ind w:right="160"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Длительные сроки внесения изменений в проектно-сметную документация (далее - ПСД), в том числе выпуск корректировочных смет, из-за выявленных ошибок в ПСД, изменений в ценообразовании (тарифная ставка) и т.д.</w:t>
            </w:r>
          </w:p>
          <w:p w14:paraId="72521541" w14:textId="77777777" w:rsidR="00D72821" w:rsidRPr="00DC1027" w:rsidRDefault="00D72821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1241B80C" w14:textId="77777777" w:rsidR="00D72821" w:rsidRPr="00DC1027" w:rsidRDefault="00D72821" w:rsidP="00DC1027">
            <w:pPr>
              <w:spacing w:line="280" w:lineRule="exact"/>
              <w:ind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Разработать и утвердить форму акта в виде локальной сметы для таких изменений, установить порядок его составления и подписания </w:t>
            </w:r>
            <w:r w:rsidRPr="00DC1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(например, составляет подрядчик, подписывает проектная организация, подписывает и утверждает заказчик), который в свою очередь будет основанием для расчета изменений цены договора подряда.</w:t>
            </w:r>
          </w:p>
          <w:p w14:paraId="52065320" w14:textId="74BD03A5" w:rsidR="00421DC3" w:rsidRPr="00DC1027" w:rsidRDefault="00421DC3" w:rsidP="00DC1027">
            <w:pPr>
              <w:spacing w:line="280" w:lineRule="exact"/>
              <w:ind w:firstLine="2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57AFDDD9" w14:textId="4AA88351" w:rsidR="00D72821" w:rsidRPr="00DC1027" w:rsidRDefault="00D72821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ОАО «МАПИД»</w:t>
            </w:r>
          </w:p>
        </w:tc>
      </w:tr>
      <w:tr w:rsidR="00D72821" w:rsidRPr="00DC1027" w14:paraId="4B3DD834" w14:textId="77777777" w:rsidTr="00D72821">
        <w:tc>
          <w:tcPr>
            <w:tcW w:w="803" w:type="dxa"/>
          </w:tcPr>
          <w:p w14:paraId="17F73AE7" w14:textId="697D458B" w:rsidR="00D72821" w:rsidRPr="00DC1027" w:rsidRDefault="00421DC3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874" w:type="dxa"/>
          </w:tcPr>
          <w:p w14:paraId="08D8B186" w14:textId="238B6567" w:rsidR="00421DC3" w:rsidRPr="00DC1027" w:rsidRDefault="00421DC3" w:rsidP="00DC1027">
            <w:pPr>
              <w:widowControl w:val="0"/>
              <w:tabs>
                <w:tab w:val="left" w:pos="1684"/>
              </w:tabs>
              <w:spacing w:line="280" w:lineRule="exact"/>
              <w:ind w:right="180"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Наполняемость Фонда проектов повторного применения. С вязи с тем, что отсутствует какая-либо заинтересованность у заказчиков вносить реализованные ими проекты в Фонд, темпы наполнения незначительные. </w:t>
            </w:r>
          </w:p>
          <w:p w14:paraId="029B79CD" w14:textId="77777777" w:rsidR="00D72821" w:rsidRPr="00DC1027" w:rsidRDefault="00D72821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4387D371" w14:textId="77777777" w:rsidR="00D72821" w:rsidRPr="00DC1027" w:rsidRDefault="00421DC3" w:rsidP="00DC1027">
            <w:pPr>
              <w:spacing w:line="280" w:lineRule="exact"/>
              <w:ind w:firstLine="29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Целесообразно на законодательном уровне обязать всех заказчиков направлять в Фонд повторного применения реализованные проекты для граждан нуждающихся в улучшении жилищных условий (в т.ч. ЖСПК), арендных, социальных (за счет бюджетных средств).</w:t>
            </w:r>
          </w:p>
          <w:p w14:paraId="219C64B2" w14:textId="017368CB" w:rsidR="00421DC3" w:rsidRPr="00DC1027" w:rsidRDefault="00421DC3" w:rsidP="00DC1027">
            <w:pPr>
              <w:spacing w:line="280" w:lineRule="exact"/>
              <w:ind w:firstLine="2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07CFD57D" w14:textId="2BBCB4DE" w:rsidR="00D72821" w:rsidRPr="00DC1027" w:rsidRDefault="00421DC3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D72821" w:rsidRPr="00DC1027" w14:paraId="06AC8849" w14:textId="77777777" w:rsidTr="00D72821">
        <w:tc>
          <w:tcPr>
            <w:tcW w:w="803" w:type="dxa"/>
          </w:tcPr>
          <w:p w14:paraId="3DE120C6" w14:textId="5D0B4947" w:rsidR="00D72821" w:rsidRPr="00DC1027" w:rsidRDefault="008436E5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6874" w:type="dxa"/>
          </w:tcPr>
          <w:p w14:paraId="6693FAD2" w14:textId="77BF3A42" w:rsidR="008436E5" w:rsidRPr="00DC1027" w:rsidRDefault="008436E5" w:rsidP="00DC1027">
            <w:pPr>
              <w:widowControl w:val="0"/>
              <w:tabs>
                <w:tab w:val="left" w:pos="1342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данный момент заводы выполняют актуализацию наиболее необходимых им серий типовых изделий. Однако есть серии, имеющие общих характер в качестве материалов для проектирования, в актуализации которых заводы не заинтересованы.</w:t>
            </w:r>
          </w:p>
          <w:p w14:paraId="00B32D90" w14:textId="05CD71ED" w:rsidR="00D72821" w:rsidRPr="00DC1027" w:rsidRDefault="00D72821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48144FF3" w14:textId="1CF25792" w:rsidR="008436E5" w:rsidRPr="00DC1027" w:rsidRDefault="008436E5" w:rsidP="00DC1027">
            <w:pPr>
              <w:widowControl w:val="0"/>
              <w:spacing w:line="280" w:lineRule="exact"/>
              <w:ind w:firstLine="43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Рассмотреть возможность государственного финансирования или создания программы возврата средств на актуализацию базы типовых серий с привлечением заинтересованных проектировщиков и производителей продукции.</w:t>
            </w:r>
          </w:p>
          <w:p w14:paraId="74E78CC8" w14:textId="77777777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7210B995" w14:textId="5ED6D12B" w:rsidR="00D72821" w:rsidRPr="00DC1027" w:rsidRDefault="008436E5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 «Витебскгражданпроект»</w:t>
            </w:r>
          </w:p>
        </w:tc>
      </w:tr>
      <w:tr w:rsidR="00D72821" w:rsidRPr="00DC1027" w14:paraId="3664950E" w14:textId="77777777" w:rsidTr="00D72821">
        <w:tc>
          <w:tcPr>
            <w:tcW w:w="803" w:type="dxa"/>
          </w:tcPr>
          <w:p w14:paraId="048DC2EC" w14:textId="53EBDA5E" w:rsidR="00D72821" w:rsidRPr="00DC1027" w:rsidRDefault="008436E5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6874" w:type="dxa"/>
          </w:tcPr>
          <w:p w14:paraId="5044E8C3" w14:textId="77777777" w:rsidR="008436E5" w:rsidRPr="00DC1027" w:rsidRDefault="008436E5" w:rsidP="00DC1027">
            <w:pPr>
              <w:widowControl w:val="0"/>
              <w:tabs>
                <w:tab w:val="left" w:pos="1342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данный момент на сайте РНТЦ имеется перечень действующих серий рабочих чертежей типовых строительных конструкций, изделий и узлов зданий и сооружений для всех видов. Однако данный перечень позволяет получить только косвенные данные в виде списка действующих серий, их разработчика и</w:t>
            </w:r>
          </w:p>
          <w:p w14:paraId="7EA25F8C" w14:textId="77777777" w:rsidR="008436E5" w:rsidRPr="00DC1027" w:rsidRDefault="008436E5" w:rsidP="00DC1027">
            <w:pPr>
              <w:widowControl w:val="0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заказчика. Из-за отсутствия доступа к общим данным или сведениям по сериям (каталожные листы, пояснительная записка, область применения, технические требования, перечень типоразмеров изделий) оценить необходимость приобретения серии и возможность последующего применения в проектировании или производстве не представляется возможным.</w:t>
            </w:r>
          </w:p>
          <w:p w14:paraId="4D7B85D1" w14:textId="77777777" w:rsidR="00D72821" w:rsidRPr="00DC1027" w:rsidRDefault="00D72821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6255DD34" w14:textId="3BB123B9" w:rsidR="008436E5" w:rsidRPr="00DC1027" w:rsidRDefault="008436E5" w:rsidP="00DC1027">
            <w:pPr>
              <w:widowControl w:val="0"/>
              <w:spacing w:line="280" w:lineRule="exact"/>
              <w:ind w:firstLine="43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Разработать единую базу серий типовых строительных конструкций, изделий и узлов (аналог информационная сеть "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Техэксперт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", разработанная в Российской Федерации).</w:t>
            </w:r>
          </w:p>
          <w:p w14:paraId="16C9719A" w14:textId="77777777" w:rsidR="00D72821" w:rsidRPr="00DC1027" w:rsidRDefault="00D72821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4917F025" w14:textId="084F8B63" w:rsidR="00D72821" w:rsidRPr="00DC1027" w:rsidRDefault="008436E5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 «Витебскгражданпроект»</w:t>
            </w:r>
          </w:p>
        </w:tc>
      </w:tr>
      <w:tr w:rsidR="00421DC3" w:rsidRPr="00DC1027" w14:paraId="45AA8F3C" w14:textId="77777777" w:rsidTr="00D72821">
        <w:tc>
          <w:tcPr>
            <w:tcW w:w="803" w:type="dxa"/>
          </w:tcPr>
          <w:p w14:paraId="20DFD080" w14:textId="02686CF7" w:rsidR="00421DC3" w:rsidRPr="00DC1027" w:rsidRDefault="008436E5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6874" w:type="dxa"/>
          </w:tcPr>
          <w:p w14:paraId="5999AD34" w14:textId="77777777" w:rsidR="008436E5" w:rsidRPr="00DC1027" w:rsidRDefault="008436E5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Постановлением Совета Министров Республики Беларусь №195 от 01.03.2012 (внесены изменения Постановлением Совета Министров Республики Беларусь №239 от 01.04.2024) в сметную стоимость строительства объектов, для проектирования которых отсутствуют проекты, рекомендованные для повторного применения, а также проекты, включенные в республиканский банк данных объектов-аналогов на строительство объектов, включаются затраты, связанные с комплектацией их мебелью и инвентарем.</w:t>
            </w:r>
          </w:p>
          <w:p w14:paraId="77967C87" w14:textId="77777777" w:rsidR="008436E5" w:rsidRPr="00DC1027" w:rsidRDefault="008436E5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При этом отсутствует определение "мебель"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и "инвентарь".</w:t>
            </w:r>
          </w:p>
          <w:p w14:paraId="454E7B7E" w14:textId="77777777" w:rsidR="00421DC3" w:rsidRPr="00DC1027" w:rsidRDefault="00421DC3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74138233" w14:textId="1CC6A26D" w:rsidR="008436E5" w:rsidRPr="00DC1027" w:rsidRDefault="008436E5" w:rsidP="00DC1027">
            <w:pPr>
              <w:widowControl w:val="0"/>
              <w:spacing w:line="280" w:lineRule="exact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Дополнить термины и определения для таких понятий как "мебель" и "инвентарь" и указать относится ли "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немонтируемое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оборудование" к мебели и инвентарю.</w:t>
            </w:r>
          </w:p>
          <w:p w14:paraId="6EE46511" w14:textId="77777777" w:rsidR="00421DC3" w:rsidRPr="00DC1027" w:rsidRDefault="00421DC3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4B062447" w14:textId="645DC993" w:rsidR="00421DC3" w:rsidRPr="00DC1027" w:rsidRDefault="008436E5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 «Витебскгражданпроект»</w:t>
            </w:r>
          </w:p>
        </w:tc>
      </w:tr>
      <w:tr w:rsidR="00C544A7" w:rsidRPr="00DC1027" w14:paraId="48EC25F7" w14:textId="77777777" w:rsidTr="00D72821">
        <w:tc>
          <w:tcPr>
            <w:tcW w:w="803" w:type="dxa"/>
          </w:tcPr>
          <w:p w14:paraId="2A571022" w14:textId="480F50B3" w:rsidR="00C544A7" w:rsidRPr="00DC1027" w:rsidRDefault="00C544A7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6874" w:type="dxa"/>
          </w:tcPr>
          <w:p w14:paraId="0EA3FAE5" w14:textId="77777777" w:rsidR="00C544A7" w:rsidRPr="00DC1027" w:rsidRDefault="00C544A7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u w:val="single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Увеличились сроки и стоимость разработки проектной документации при проектировании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u w:val="single"/>
                <w:lang w:val="ru-RU" w:eastAsia="ru-RU" w:bidi="ru-RU"/>
                <w14:ligatures w14:val="none"/>
              </w:rPr>
              <w:t>кварталов застройки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в результате внесения изменений в Закон Республики Беларусь 18 июля 2016 г. № 399-3 "О государственной экологической экспертизе,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стратегической экологической оценке и оценке воздействия на окружающую среду" (Закон Республики Беларусь от 17 июля 2023 г. № 296-3 (Национальный правовой Интернет-портал Республики Беларусь, 22.07.2023,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u w:val="single"/>
                <w:lang w:val="ru-RU" w:eastAsia="ru-RU" w:bidi="ru-RU"/>
                <w14:ligatures w14:val="none"/>
              </w:rPr>
              <w:t>2/3016).</w:t>
            </w:r>
          </w:p>
          <w:p w14:paraId="6912A75D" w14:textId="579BCA12" w:rsidR="00C544A7" w:rsidRPr="00DC1027" w:rsidRDefault="00C544A7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4503FEF9" w14:textId="77777777" w:rsidR="00C544A7" w:rsidRPr="00DC1027" w:rsidRDefault="00C544A7" w:rsidP="00DC1027">
            <w:pPr>
              <w:spacing w:line="280" w:lineRule="exact"/>
              <w:ind w:firstLine="296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При приёмке объекта в эксплуатацию, получать заключение центра Государственной экологической экспертизы по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экологической безопасности по утверждённой в установленном порядке, проектной документации, 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u w:val="single"/>
                <w:lang w:val="ru-RU" w:eastAsia="ru-RU" w:bidi="ru-RU"/>
                <w14:ligatures w14:val="none"/>
              </w:rPr>
              <w:t>без внесения изменений в пред проектную (предынвестиционную) документацию</w:t>
            </w:r>
            <w:r w:rsidRPr="00DC1027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, так как она разрабатывается для обоснования инвестиций и не содержит детальных решений.</w:t>
            </w:r>
          </w:p>
          <w:p w14:paraId="0BAB91C6" w14:textId="46C66B02" w:rsidR="008C7748" w:rsidRPr="00DC1027" w:rsidRDefault="008C7748" w:rsidP="00DC1027">
            <w:pPr>
              <w:spacing w:line="280" w:lineRule="exact"/>
              <w:ind w:firstLine="2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50041D7D" w14:textId="309CE715" w:rsidR="00C544A7" w:rsidRPr="00DC1027" w:rsidRDefault="00C544A7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КУП «Витебскгражданпроект»</w:t>
            </w:r>
          </w:p>
        </w:tc>
      </w:tr>
      <w:tr w:rsidR="00C544A7" w:rsidRPr="00DC1027" w14:paraId="32D00DA2" w14:textId="77777777" w:rsidTr="00D72821">
        <w:tc>
          <w:tcPr>
            <w:tcW w:w="803" w:type="dxa"/>
          </w:tcPr>
          <w:p w14:paraId="36CFE1C5" w14:textId="6C929879" w:rsidR="00C544A7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6874" w:type="dxa"/>
          </w:tcPr>
          <w:p w14:paraId="4EF055D0" w14:textId="7518F024" w:rsidR="008C7748" w:rsidRPr="00DC1027" w:rsidRDefault="008C7748" w:rsidP="00DC1027">
            <w:pPr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Низкое качество выдаваемой проектной документации (из-за нехватки квалифицированных кадров).</w:t>
            </w:r>
          </w:p>
          <w:p w14:paraId="60150C25" w14:textId="77777777" w:rsidR="00C544A7" w:rsidRPr="00DC1027" w:rsidRDefault="00C544A7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227FCF85" w14:textId="77777777" w:rsidR="00C544A7" w:rsidRPr="00DC1027" w:rsidRDefault="00C544A7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0D837CDA" w14:textId="77777777" w:rsidR="00C544A7" w:rsidRPr="00DC1027" w:rsidRDefault="008C7748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 по архитектуре и строительству Брестского облисполкома</w:t>
            </w:r>
          </w:p>
          <w:p w14:paraId="1C48E042" w14:textId="462B7DBC" w:rsidR="008C7748" w:rsidRPr="00DC1027" w:rsidRDefault="008C7748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544A7" w:rsidRPr="00DC1027" w14:paraId="6CFAC271" w14:textId="77777777" w:rsidTr="00D72821">
        <w:tc>
          <w:tcPr>
            <w:tcW w:w="803" w:type="dxa"/>
          </w:tcPr>
          <w:p w14:paraId="089011E0" w14:textId="61F81463" w:rsidR="00C544A7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6874" w:type="dxa"/>
          </w:tcPr>
          <w:p w14:paraId="71B8DC53" w14:textId="1B7ECFF4" w:rsidR="008C7748" w:rsidRPr="00DC1027" w:rsidRDefault="008C7748" w:rsidP="00DC1027">
            <w:pPr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Из-за серьезных просчетов проектных организаций, необходимости проведения корректировки проекта, прохождения повторной экспертизы проекта, появляется необходимость выполнения неучтенных работ или выполнения дополнительных</w:t>
            </w: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объемов работ,</w:t>
            </w: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и как следствие, проведение повторных процедур закупок по выбору подрядных организаций, а это сроки на проведение процедур выбора, заключения договора. И, как следствие, увеличение сроков строительства объектов.</w:t>
            </w:r>
          </w:p>
          <w:p w14:paraId="1A0A76E0" w14:textId="77777777" w:rsidR="00C544A7" w:rsidRPr="00DC1027" w:rsidRDefault="00C544A7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1E7F2134" w14:textId="77777777" w:rsidR="00C544A7" w:rsidRPr="00DC1027" w:rsidRDefault="00C544A7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36750DE6" w14:textId="77777777" w:rsidR="008C7748" w:rsidRPr="00DC1027" w:rsidRDefault="008C7748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 по архитектуре и строительству Брестского облисполкома</w:t>
            </w:r>
          </w:p>
          <w:p w14:paraId="0E2999B7" w14:textId="77777777" w:rsidR="00C544A7" w:rsidRPr="00DC1027" w:rsidRDefault="00C544A7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C7748" w:rsidRPr="00DC1027" w14:paraId="5C5F31D2" w14:textId="77777777" w:rsidTr="00D72821">
        <w:tc>
          <w:tcPr>
            <w:tcW w:w="803" w:type="dxa"/>
          </w:tcPr>
          <w:p w14:paraId="3BA42A1C" w14:textId="21C9FDE8" w:rsidR="008C7748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6874" w:type="dxa"/>
          </w:tcPr>
          <w:p w14:paraId="3CE4A340" w14:textId="77777777" w:rsidR="008C7748" w:rsidRPr="00DC1027" w:rsidRDefault="00E22B50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</w:rPr>
              <w:t>Разрешить разработку предпроектной (предынвестиционной) документации по объектам четвертого и третьего классов сложности в сокращенном объеме (в форме задания на проектирование).</w:t>
            </w:r>
          </w:p>
          <w:p w14:paraId="23F04655" w14:textId="4AC684E2" w:rsidR="00E22B50" w:rsidRPr="00DC1027" w:rsidRDefault="00E22B50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53C6F80E" w14:textId="77777777" w:rsidR="008C7748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69" w:type="dxa"/>
          </w:tcPr>
          <w:p w14:paraId="64DE99FE" w14:textId="77777777" w:rsidR="00E22B50" w:rsidRPr="00DC1027" w:rsidRDefault="00E22B50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 по архитектуре и строительству Брестского облисполкома</w:t>
            </w:r>
          </w:p>
          <w:p w14:paraId="13270E60" w14:textId="77777777" w:rsidR="008C7748" w:rsidRPr="00DC1027" w:rsidRDefault="008C7748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C7748" w:rsidRPr="00DC1027" w14:paraId="025DFE3D" w14:textId="77777777" w:rsidTr="00D72821">
        <w:tc>
          <w:tcPr>
            <w:tcW w:w="803" w:type="dxa"/>
          </w:tcPr>
          <w:p w14:paraId="6A62105D" w14:textId="641DBC59" w:rsidR="008C7748" w:rsidRPr="00DC1027" w:rsidRDefault="00176129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6874" w:type="dxa"/>
          </w:tcPr>
          <w:p w14:paraId="210941DB" w14:textId="77777777" w:rsidR="00176129" w:rsidRPr="00DC1027" w:rsidRDefault="00176129" w:rsidP="00DC1027">
            <w:pPr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Вопросы использования «второго света» через неотапливаемые смежные объёмы лоджии, зимнего сада и др. в естественном освещении помещений</w:t>
            </w:r>
          </w:p>
          <w:p w14:paraId="4F1AB233" w14:textId="34A43F99" w:rsidR="00E22B50" w:rsidRPr="00DC1027" w:rsidRDefault="00E22B50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4D644C8D" w14:textId="77777777" w:rsidR="00176129" w:rsidRPr="00DC1027" w:rsidRDefault="00176129" w:rsidP="00DC1027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Использование «второго света» через неотапливаемые смежные объёмы позволяет значительно снизить  трансмиссионные  теплопотери, использовать теплоаккумулирующие свойства смежных объёмов для солнечной энергии, значительно улучшить комфорт. Подобные принципы в  применимости  к блокированной застройки  позволило, например, в Дании снизить затраты на отопление и вентиляцию более чем в 2 раза без доп. капвложений</w:t>
            </w:r>
          </w:p>
          <w:p w14:paraId="4E333661" w14:textId="77777777" w:rsidR="008C7748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14:paraId="1DB9F7A4" w14:textId="16E2DAA3" w:rsidR="008C7748" w:rsidRPr="00DC1027" w:rsidRDefault="00176129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МИПК и ПК БНТУ</w:t>
            </w:r>
          </w:p>
        </w:tc>
      </w:tr>
      <w:tr w:rsidR="008C7748" w:rsidRPr="00DC1027" w14:paraId="1EEB5BBF" w14:textId="77777777" w:rsidTr="00D72821">
        <w:tc>
          <w:tcPr>
            <w:tcW w:w="803" w:type="dxa"/>
          </w:tcPr>
          <w:p w14:paraId="4BC515EE" w14:textId="144348F8" w:rsidR="008C7748" w:rsidRPr="00DC1027" w:rsidRDefault="00A33BA5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6874" w:type="dxa"/>
          </w:tcPr>
          <w:p w14:paraId="152A9E70" w14:textId="53FE1B8F" w:rsidR="00176129" w:rsidRPr="00DC1027" w:rsidRDefault="00176129" w:rsidP="00DC1027">
            <w:pPr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энергоэффективной планировочной</w:t>
            </w:r>
            <w:r w:rsidRPr="00DC1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застройки городских и сельских посёлков </w:t>
            </w:r>
            <w:r w:rsidRPr="00DC10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домами «солнечной архитектуры»</w:t>
            </w:r>
            <w:r w:rsidRPr="00DC10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2E73C14" w14:textId="77777777" w:rsidR="008C7748" w:rsidRPr="00DC1027" w:rsidRDefault="008C7748" w:rsidP="00DC1027">
            <w:pPr>
              <w:widowControl w:val="0"/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788A6A94" w14:textId="77792356" w:rsidR="009B4B44" w:rsidRPr="00DC1027" w:rsidRDefault="009B4B44" w:rsidP="00DC1027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Конструкторы и архитекторы должны обладать соответствующими знаниями и «профессиональной интуицией» в области «солнечной архитектуры зданий и поселковой застройки», которые "нарабатываются" на профессионально организовванных курсах  повышения квалификации.  В западных странах и США на постоянной  основе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организуются одно-, двух и трёхгодичные курсы повышения квалификации для архитекторов и специалистов в области «солнечной архитектуры». В странах запада постоянно  инициировались  программы и инвестиции для привлечения населения к данной проблеме.  Например, во многих посёлках Австрии даже в конце 20-го века 100% зданий имели «солнечную архитектуру» и гелиосистемы горячего водоснабжения. В БССР институты "Белниигипросельстрой"  и "Белгоспроект", "Институт  им. Сахарова" сотрудничали  в этой области  с проектировщиками США, Германии, Австрии.</w:t>
            </w:r>
          </w:p>
          <w:p w14:paraId="5BF8A554" w14:textId="77777777" w:rsidR="008C7748" w:rsidRPr="00DC1027" w:rsidRDefault="008C7748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14:paraId="6CEB6E17" w14:textId="61BCC8AB" w:rsidR="008C7748" w:rsidRPr="00DC1027" w:rsidRDefault="009B4B44" w:rsidP="00DC1027">
            <w:pPr>
              <w:spacing w:line="280" w:lineRule="exact"/>
              <w:ind w:firstLine="4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МИПК и ПК БНТУ</w:t>
            </w:r>
          </w:p>
        </w:tc>
      </w:tr>
      <w:tr w:rsidR="00246D90" w:rsidRPr="00DC1027" w14:paraId="06CAD37F" w14:textId="77777777" w:rsidTr="00D72821">
        <w:tc>
          <w:tcPr>
            <w:tcW w:w="803" w:type="dxa"/>
          </w:tcPr>
          <w:p w14:paraId="67A252A2" w14:textId="674A5C33" w:rsidR="00246D90" w:rsidRPr="00DC1027" w:rsidRDefault="00246D90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6874" w:type="dxa"/>
          </w:tcPr>
          <w:p w14:paraId="6FE50D6B" w14:textId="17C89B40" w:rsidR="00246D90" w:rsidRPr="00DC1027" w:rsidRDefault="00246D90" w:rsidP="00DC1027">
            <w:pPr>
              <w:widowControl w:val="0"/>
              <w:tabs>
                <w:tab w:val="left" w:pos="1348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Считаем необходимым пересмотреть нормативы по планировке и застройке населенных пунктов (количество велодорожек, их исполнение и необходимость устройства; этапы строительства инженерных сетей, изменение норматива компенсационных мероприятий за удаление объектов растительного мира).</w:t>
            </w:r>
          </w:p>
          <w:p w14:paraId="57503449" w14:textId="77777777" w:rsidR="00246D90" w:rsidRDefault="00246D90" w:rsidP="00DC1027">
            <w:pPr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9490C1B" w14:textId="01EF605B" w:rsidR="00B307B8" w:rsidRPr="00DC1027" w:rsidRDefault="00B307B8" w:rsidP="00DC1027">
            <w:pPr>
              <w:spacing w:line="280" w:lineRule="exact"/>
              <w:ind w:firstLine="50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</w:tcPr>
          <w:p w14:paraId="6262604B" w14:textId="07F75FDB" w:rsidR="00246D90" w:rsidRPr="00DC1027" w:rsidRDefault="007E3773" w:rsidP="00DC1027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Предлагается Минстройархитектуры рассмотреть вопрос и при возможности внести соответствующие изменения в ТНПА</w:t>
            </w:r>
          </w:p>
        </w:tc>
        <w:tc>
          <w:tcPr>
            <w:tcW w:w="3469" w:type="dxa"/>
          </w:tcPr>
          <w:p w14:paraId="6AFB0F50" w14:textId="77777777" w:rsidR="00246D90" w:rsidRPr="00DC1027" w:rsidRDefault="00246D90" w:rsidP="00DC1027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Комитет по архитектуре и строительству Витебского облисполкома</w:t>
            </w:r>
          </w:p>
          <w:p w14:paraId="7314FA14" w14:textId="77777777" w:rsidR="00246D90" w:rsidRPr="00DC1027" w:rsidRDefault="00246D90" w:rsidP="00DC1027">
            <w:pPr>
              <w:spacing w:line="280" w:lineRule="exact"/>
              <w:ind w:firstLine="3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6450B" w:rsidRPr="00DC1027" w14:paraId="6B47CC67" w14:textId="77777777" w:rsidTr="00D72821">
        <w:tc>
          <w:tcPr>
            <w:tcW w:w="803" w:type="dxa"/>
          </w:tcPr>
          <w:p w14:paraId="4D1B08EE" w14:textId="004C5677" w:rsidR="0026450B" w:rsidRPr="00DC1027" w:rsidRDefault="00DC1027" w:rsidP="00DC1027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0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22.</w:t>
            </w:r>
          </w:p>
        </w:tc>
        <w:tc>
          <w:tcPr>
            <w:tcW w:w="6874" w:type="dxa"/>
          </w:tcPr>
          <w:p w14:paraId="734D2977" w14:textId="77777777" w:rsidR="00DC1027" w:rsidRPr="00DC1027" w:rsidRDefault="00DC1027" w:rsidP="00DC1027">
            <w:pPr>
              <w:widowControl w:val="0"/>
              <w:tabs>
                <w:tab w:val="left" w:pos="1051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 целью сокращения сроков разработки проектной документации и затрат заказчика инициировать разработку недостающих технических нормативных правовых актов (в настоящее время ТНПА отсутствуют):</w:t>
            </w:r>
          </w:p>
          <w:p w14:paraId="723CAE24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50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проектирование и устройство железнодорожных сливо-наливных эстакад легковоспламеняющихся и горючих жидкостей и сжиженных углеводородных газов;</w:t>
            </w:r>
          </w:p>
          <w:p w14:paraId="1CF19B48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55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технологическое проектирование (строительные нормы) складов сжиженных углеводородных газов на производственных предприятиях, за исключением объектов газораспределения и газопотребления согласно СН 4.03.01-2019;</w:t>
            </w:r>
          </w:p>
          <w:p w14:paraId="7BDEEAE6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проектирование встроенных электрокотельных для общественных и производственных зданий;</w:t>
            </w:r>
          </w:p>
          <w:p w14:paraId="31E68047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технологическое проектирование предприятий по переработке нефти и производству продуктов органического синтеза;</w:t>
            </w:r>
          </w:p>
          <w:p w14:paraId="72D3EE0B" w14:textId="38F3E173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противопожарные нормы проектирования на здания и сооружения объектов нефтехимической и нефтеперерабатывающей промышленности;</w:t>
            </w:r>
          </w:p>
          <w:p w14:paraId="47601C6C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технологического проектирования (строительные нормы) складов метанола;</w:t>
            </w:r>
          </w:p>
          <w:p w14:paraId="4D2F41F6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проектирование и устройство железнодорожных сливо-наливных эстакад специальных продуктов (метанол, аммиак и другие);</w:t>
            </w:r>
          </w:p>
          <w:p w14:paraId="29025555" w14:textId="77777777" w:rsidR="00DC1027" w:rsidRPr="00DC1027" w:rsidRDefault="00DC1027" w:rsidP="00DC1027">
            <w:pPr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 технологическое проектирование (строительные нормы) лакокрасочных производств.</w:t>
            </w:r>
          </w:p>
          <w:p w14:paraId="21325EBD" w14:textId="77777777" w:rsidR="0026450B" w:rsidRPr="00DC1027" w:rsidRDefault="0026450B" w:rsidP="00DC1027">
            <w:pPr>
              <w:widowControl w:val="0"/>
              <w:tabs>
                <w:tab w:val="left" w:pos="1348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24694F0E" w14:textId="77777777" w:rsidR="0026450B" w:rsidRPr="00DC1027" w:rsidRDefault="0026450B" w:rsidP="00DC1027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469" w:type="dxa"/>
          </w:tcPr>
          <w:p w14:paraId="770A901E" w14:textId="755DBFC8" w:rsidR="0026450B" w:rsidRPr="00DC1027" w:rsidRDefault="00BA4154" w:rsidP="00BA4154">
            <w:pPr>
              <w:tabs>
                <w:tab w:val="left" w:pos="142"/>
              </w:tabs>
              <w:spacing w:line="280" w:lineRule="exact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Блоруснефть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-Нефтехимпроект»</w:t>
            </w:r>
          </w:p>
        </w:tc>
      </w:tr>
      <w:tr w:rsidR="00BA4154" w:rsidRPr="00DC1027" w14:paraId="0F47B5FB" w14:textId="77777777" w:rsidTr="00D72821">
        <w:tc>
          <w:tcPr>
            <w:tcW w:w="803" w:type="dxa"/>
          </w:tcPr>
          <w:p w14:paraId="24258704" w14:textId="3FE1FA5E" w:rsidR="00BA4154" w:rsidRPr="00DC1027" w:rsidRDefault="00BA4154" w:rsidP="00BA4154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6874" w:type="dxa"/>
          </w:tcPr>
          <w:p w14:paraId="1520FAB4" w14:textId="6899D1E7" w:rsidR="00BA4154" w:rsidRPr="00DC1027" w:rsidRDefault="00BA4154" w:rsidP="00BA4154">
            <w:pPr>
              <w:widowControl w:val="0"/>
              <w:tabs>
                <w:tab w:val="left" w:pos="1181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Инициировать внесение изменений в Постановление Министерства архитектуры и строительства Республики Беларусь </w:t>
            </w:r>
            <w:r w:rsidR="0013085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от 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19.04.2023 №39 «Инструкция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выражении» в части мониторинга цен, а именно в п.8.3 предусмотреть требования следующие требования:</w:t>
            </w:r>
          </w:p>
          <w:p w14:paraId="2D3E957F" w14:textId="77777777" w:rsidR="00BA4154" w:rsidRPr="00DC1027" w:rsidRDefault="00BA4154" w:rsidP="00BA4154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94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в течении одного месяца дополнять базу материалами опубликованными оператором информационно-справочной системы государственной информационной </w:t>
            </w:r>
          </w:p>
          <w:p w14:paraId="54F9F543" w14:textId="77777777" w:rsidR="00BA4154" w:rsidRPr="00DC1027" w:rsidRDefault="00BA4154" w:rsidP="00BA4154">
            <w:pPr>
              <w:widowControl w:val="0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системы на "</w:t>
            </w:r>
            <w:proofErr w:type="spellStart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Госстройпортале</w:t>
            </w:r>
            <w:proofErr w:type="spellEnd"/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". Поддерживать базу со 100% наличием цен на материалы;</w:t>
            </w:r>
          </w:p>
          <w:p w14:paraId="1442FA29" w14:textId="499D48BF" w:rsidR="00BA4154" w:rsidRPr="00DC1027" w:rsidRDefault="00BA4154" w:rsidP="00BA4154">
            <w:pPr>
              <w:widowControl w:val="0"/>
              <w:numPr>
                <w:ilvl w:val="0"/>
                <w:numId w:val="14"/>
              </w:numPr>
              <w:tabs>
                <w:tab w:val="left" w:pos="954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регламентировать время для оператора информационно-справочной системы государственной информационной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Г</w:t>
            </w: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осстройпортал" на обработку запроса разработчика сметной документации, обратную связь по запросам разработчика сметной документации (рассматривается, включено в мониторинг на "Госстройпортал", отклонено и т.д.);</w:t>
            </w:r>
          </w:p>
          <w:p w14:paraId="6883C32B" w14:textId="77777777" w:rsidR="00BA4154" w:rsidRPr="00DC1027" w:rsidRDefault="00BA4154" w:rsidP="00BA4154">
            <w:pPr>
              <w:widowControl w:val="0"/>
              <w:numPr>
                <w:ilvl w:val="0"/>
                <w:numId w:val="14"/>
              </w:numPr>
              <w:tabs>
                <w:tab w:val="left" w:pos="954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DC10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или откорректировать п.8.3 без участия в мониторинге цен третьего лица - для уменьшения в первую очередь трудозатрат на составление смет и подготовки запросов, времени на составления и корректировки смет с уточнением цен на материалы оператором информационно-справочной системы государственной информационной системы "Госстройпортал".</w:t>
            </w:r>
          </w:p>
          <w:p w14:paraId="4EB97680" w14:textId="77777777" w:rsidR="00BA4154" w:rsidRPr="00DC1027" w:rsidRDefault="00BA4154" w:rsidP="00BA4154">
            <w:pPr>
              <w:widowControl w:val="0"/>
              <w:tabs>
                <w:tab w:val="left" w:pos="1348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3C03E25E" w14:textId="77777777" w:rsidR="00BA4154" w:rsidRPr="00DC1027" w:rsidRDefault="00BA4154" w:rsidP="00BA4154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469" w:type="dxa"/>
          </w:tcPr>
          <w:p w14:paraId="7C101021" w14:textId="15F9AA6C" w:rsidR="00BA4154" w:rsidRPr="00DC1027" w:rsidRDefault="00BA4154" w:rsidP="00BA4154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Блоруснефть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-Нефтехимпроект»</w:t>
            </w:r>
          </w:p>
        </w:tc>
      </w:tr>
      <w:tr w:rsidR="00BA4154" w:rsidRPr="00DC1027" w14:paraId="1F670742" w14:textId="77777777" w:rsidTr="00D72821">
        <w:tc>
          <w:tcPr>
            <w:tcW w:w="803" w:type="dxa"/>
          </w:tcPr>
          <w:p w14:paraId="0A9AFE91" w14:textId="34C5667E" w:rsidR="00BA4154" w:rsidRPr="00DC1027" w:rsidRDefault="00BA4154" w:rsidP="00BA4154">
            <w:pPr>
              <w:tabs>
                <w:tab w:val="left" w:pos="142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24.</w:t>
            </w:r>
          </w:p>
        </w:tc>
        <w:tc>
          <w:tcPr>
            <w:tcW w:w="6874" w:type="dxa"/>
          </w:tcPr>
          <w:p w14:paraId="61FECE4B" w14:textId="41A2015B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Вопросы цифровизации.</w:t>
            </w:r>
          </w:p>
          <w:p w14:paraId="495CFFC6" w14:textId="77777777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24A6B6FC" w14:textId="073CFA5A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В Республике Беларусь на текущий момент отсутствует программное обеспечение, способное полностью обеспечить процесс составления смет по </w:t>
            </w: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bidi="en-US"/>
                <w14:ligatures w14:val="none"/>
              </w:rPr>
              <w:t>BIM</w:t>
            </w: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bidi="en-US"/>
                <w14:ligatures w14:val="none"/>
              </w:rPr>
              <w:t xml:space="preserve"> </w:t>
            </w: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проектам. Необходимо инициировать доработку программного обеспечения «АВС- РНТЦ» для разработки смет по </w:t>
            </w: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bidi="en-US"/>
                <w14:ligatures w14:val="none"/>
              </w:rPr>
              <w:t>BIM</w:t>
            </w: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-технологии для обеспечения процесса перехода работы строительных организаций в цифровой среде, а также обеспечить последующую поддержку ПО.</w:t>
            </w:r>
          </w:p>
          <w:p w14:paraId="2AC6B23F" w14:textId="77777777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Предлагаем определить рабочую экспертную группу, которая займется проработкой вопросов внедрения технологии информационного моделирования (далее - ТИМ) на уровне государства. Для эффективной проработки вопросов цифровизации отраслей заявленные эксперты должны иметь достаточно ресурсов. Эксперты, совмещающие работы по составлению регламентов и основную деятельность на предприятиях Республик Беларусь не смогут участвовать в данной работе полноценно. Практикующих экспертов следует рассматривать в роли консультантов, </w:t>
            </w:r>
            <w:proofErr w:type="spellStart"/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согласователей</w:t>
            </w:r>
            <w:proofErr w:type="spellEnd"/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, соавторов также на договорной основе.</w:t>
            </w:r>
          </w:p>
          <w:p w14:paraId="23B0E66B" w14:textId="77777777" w:rsidR="00BA4154" w:rsidRPr="00B307B8" w:rsidRDefault="00BA4154" w:rsidP="00BA4154">
            <w:pPr>
              <w:widowControl w:val="0"/>
              <w:tabs>
                <w:tab w:val="left" w:pos="103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Для более интенсивного внедрения цифровых технологий, определить случаи обязательного применения ТИМ по объектам инвестирования (фиксируемые за счет бюджета, производственные и т.д.).</w:t>
            </w:r>
          </w:p>
          <w:p w14:paraId="54844DF1" w14:textId="77777777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Инициировать формирование приказов, постановлений, распоряжений, определяющих подход, дорожную карту развития, роли, цели и задачи применения ТИМ.</w:t>
            </w:r>
          </w:p>
          <w:p w14:paraId="72AF03CB" w14:textId="77777777" w:rsidR="00BA4154" w:rsidRPr="00B307B8" w:rsidRDefault="00BA4154" w:rsidP="00BA4154">
            <w:pPr>
              <w:widowControl w:val="0"/>
              <w:tabs>
                <w:tab w:val="left" w:pos="1149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Предлагаем определить понятия и термины, об информационном моделировании, и закрепить их в градостроительном кодексе Республики Беларусь.</w:t>
            </w:r>
          </w:p>
          <w:p w14:paraId="3F317C81" w14:textId="65094116" w:rsidR="00BA4154" w:rsidRPr="00037728" w:rsidRDefault="00BA4154" w:rsidP="00BA4154">
            <w:pPr>
              <w:widowControl w:val="0"/>
              <w:tabs>
                <w:tab w:val="left" w:pos="102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Инициировать разработку нормативной документации, касающейся разработки и применения информационных моделей для различных стадий жизненного цикла по аналогии со сводами правил об информационном моделировании в строительстве в РФ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.</w:t>
            </w:r>
          </w:p>
          <w:p w14:paraId="15E9A801" w14:textId="77777777" w:rsidR="00BA4154" w:rsidRDefault="00BA4154" w:rsidP="00BA4154">
            <w:pPr>
              <w:widowControl w:val="0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728ECD12" w14:textId="3464B111" w:rsidR="00BA4154" w:rsidRPr="00037728" w:rsidRDefault="00BA4154" w:rsidP="00BA4154">
            <w:pPr>
              <w:widowControl w:val="0"/>
              <w:spacing w:line="280" w:lineRule="exact"/>
              <w:ind w:firstLine="78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Перечень правил об информационном моделировании в строительстве в РФ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:</w:t>
            </w:r>
          </w:p>
          <w:p w14:paraId="6B5E109D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1007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Правила описания компонентов информационной модели.</w:t>
            </w:r>
          </w:p>
          <w:p w14:paraId="12B05897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97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Правила обмена между информационными моделями объектов и моделями, используемых в программных комплексах.</w:t>
            </w:r>
          </w:p>
          <w:p w14:paraId="12434E95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1007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Правила организации работ производственно-техническими отделами.</w:t>
            </w:r>
          </w:p>
          <w:p w14:paraId="3B2A66AC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97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Правила формирования информационной модели объектов на различных стадиях жизненного цикла.</w:t>
            </w:r>
          </w:p>
          <w:p w14:paraId="64B1A555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97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Правила разработки планов проектов, реализуемых с применением технологии информационного моделирования.</w:t>
            </w:r>
          </w:p>
          <w:p w14:paraId="0E208759" w14:textId="77777777" w:rsidR="00BA4154" w:rsidRPr="00037728" w:rsidRDefault="00BA4154" w:rsidP="00BA4154">
            <w:pPr>
              <w:widowControl w:val="0"/>
              <w:numPr>
                <w:ilvl w:val="0"/>
                <w:numId w:val="17"/>
              </w:numPr>
              <w:tabs>
                <w:tab w:val="left" w:pos="1007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Контроль качества производства строительных работ.</w:t>
            </w:r>
          </w:p>
          <w:p w14:paraId="69A1783E" w14:textId="77777777" w:rsidR="00BA4154" w:rsidRPr="00B307B8" w:rsidRDefault="00BA4154" w:rsidP="00BA4154">
            <w:pPr>
              <w:widowControl w:val="0"/>
              <w:tabs>
                <w:tab w:val="left" w:pos="102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68824125" w14:textId="7F3B9DB8" w:rsidR="00BA4154" w:rsidRDefault="00BA4154" w:rsidP="00BA4154">
            <w:pPr>
              <w:widowControl w:val="0"/>
              <w:tabs>
                <w:tab w:val="left" w:pos="102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Инициировать разработку стандартов, определяющих порядок применения технологии информационного моделирования в процессах проектирования, строительства и эксплуатации по аналогии с РФ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.</w:t>
            </w:r>
          </w:p>
          <w:p w14:paraId="2D1EAB68" w14:textId="0CA28F86" w:rsidR="00BA4154" w:rsidRDefault="00BA4154" w:rsidP="00BA4154">
            <w:pPr>
              <w:widowControl w:val="0"/>
              <w:tabs>
                <w:tab w:val="left" w:pos="102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683793F4" w14:textId="6489BC4E" w:rsidR="00BA4154" w:rsidRPr="00037728" w:rsidRDefault="00BA4154" w:rsidP="00BA4154">
            <w:pPr>
              <w:widowControl w:val="0"/>
              <w:spacing w:line="280" w:lineRule="exact"/>
              <w:ind w:firstLine="64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Перечень стандартов, определяющих порядок применения технологии информационного моделирования в процессах проектирования, строительства 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 w:rsidRPr="000377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эксплуатации в РФ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:</w:t>
            </w:r>
          </w:p>
          <w:p w14:paraId="3733F7C5" w14:textId="77777777" w:rsidR="00BA4154" w:rsidRPr="00037728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1007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Документация исполнительная. Формирование и ведение в электронном виде.</w:t>
            </w:r>
          </w:p>
          <w:p w14:paraId="5FB50B45" w14:textId="77777777" w:rsidR="00BA4154" w:rsidRPr="00037728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982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Национальный стандарт Республики Беларусь Моделирование информационное в строительстве.</w:t>
            </w:r>
          </w:p>
          <w:p w14:paraId="3F7E3394" w14:textId="77777777" w:rsidR="00BA4154" w:rsidRPr="00037728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1007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Проектный менеджмент. Требования к управлению проектом.</w:t>
            </w:r>
          </w:p>
          <w:p w14:paraId="678D829D" w14:textId="77777777" w:rsidR="00BA4154" w:rsidRPr="00037728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982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Моделирование информационное в строительстве. Руководство по доставке информации. Методология и формат.</w:t>
            </w:r>
          </w:p>
          <w:p w14:paraId="3AD8B6AC" w14:textId="77777777" w:rsidR="00BA4154" w:rsidRPr="00037728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982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Моделирование информационное в строительстве. Требования к эксплуатационной документации объектов завершенного строительства.</w:t>
            </w:r>
          </w:p>
          <w:p w14:paraId="26E4C512" w14:textId="31ABB027" w:rsidR="00BA4154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97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Управление проектом в строительстве. Деятельность управляющего проектом (технического заказчика).</w:t>
            </w:r>
          </w:p>
          <w:p w14:paraId="3F3BAEE7" w14:textId="29A5F94C" w:rsidR="00BA4154" w:rsidRPr="00595F56" w:rsidRDefault="00BA4154" w:rsidP="00BA4154">
            <w:pPr>
              <w:widowControl w:val="0"/>
              <w:numPr>
                <w:ilvl w:val="0"/>
                <w:numId w:val="18"/>
              </w:numPr>
              <w:tabs>
                <w:tab w:val="left" w:pos="978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037728">
              <w:rPr>
                <w:rFonts w:ascii="Times New Roman" w:eastAsia="Microsoft Sans Serif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информацией: Методология и формат, структура взаимодействия, основные принципы классификации, основы обмена объектно-ориентированной информацией</w:t>
            </w:r>
            <w:r w:rsidRPr="00037728"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val="ru-RU" w:eastAsia="ru-RU" w:bidi="ru-RU"/>
                <w14:ligatures w14:val="none"/>
              </w:rPr>
              <w:t>.</w:t>
            </w:r>
          </w:p>
          <w:p w14:paraId="5F59A689" w14:textId="77777777" w:rsidR="00BA4154" w:rsidRPr="00B307B8" w:rsidRDefault="00BA4154" w:rsidP="00BA4154">
            <w:pPr>
              <w:widowControl w:val="0"/>
              <w:tabs>
                <w:tab w:val="left" w:pos="978"/>
              </w:tabs>
              <w:spacing w:line="280" w:lineRule="exact"/>
              <w:ind w:left="709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6D42C263" w14:textId="08190F59" w:rsidR="00BA4154" w:rsidRPr="00B307B8" w:rsidRDefault="00BA4154" w:rsidP="00BA4154">
            <w:pPr>
              <w:widowControl w:val="0"/>
              <w:tabs>
                <w:tab w:val="left" w:pos="1348"/>
              </w:tabs>
              <w:spacing w:line="280" w:lineRule="exact"/>
              <w:ind w:firstLine="787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Инициировать разработку нормативных документов</w:t>
            </w:r>
            <w:r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,</w:t>
            </w:r>
            <w:r w:rsidRPr="00B307B8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регламентирующих вопросы ведения документации (в том числе и эксплуатационной) в электронном виде. Узаконить ЭЦП в строительстве (ведение электронных журналов, подписание ПСД в </w:t>
            </w:r>
            <w:r w:rsidRPr="00B307B8">
              <w:rPr>
                <w:rFonts w:ascii="Times New Roman" w:eastAsia="Microsoft Sans Serif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электронном виде и др.). Наличие ЭЦП предполагает возможность ведения такой документации, однако требуется оптимизировать вопросы получения ЭЦП всех участников процесса.</w:t>
            </w:r>
          </w:p>
          <w:p w14:paraId="633D495D" w14:textId="77777777" w:rsidR="00BA4154" w:rsidRPr="00B307B8" w:rsidRDefault="00BA4154" w:rsidP="00BA4154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B307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Инициировать разработку и утверждение методики классификации строительной информации, проработка вопросов ведения данных справочников, наполнения, актуализации. Проработка пилотных классификаторов на выделенных проектах с целью определения степени масштабируемости решения и применимость под различные задачи жизненного цикла.</w:t>
            </w:r>
          </w:p>
          <w:p w14:paraId="4134584A" w14:textId="77777777" w:rsidR="00BA4154" w:rsidRPr="00B307B8" w:rsidRDefault="00BA4154" w:rsidP="00BA4154">
            <w:pPr>
              <w:widowControl w:val="0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7724BF9D" w14:textId="0200A190" w:rsidR="00BA4154" w:rsidRPr="00DC1027" w:rsidRDefault="00BA4154" w:rsidP="00BA4154">
            <w:pPr>
              <w:widowControl w:val="0"/>
              <w:tabs>
                <w:tab w:val="left" w:pos="1348"/>
              </w:tabs>
              <w:spacing w:line="280" w:lineRule="exact"/>
              <w:ind w:firstLine="50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3875" w:type="dxa"/>
          </w:tcPr>
          <w:p w14:paraId="57D7DA0D" w14:textId="77777777" w:rsidR="00BA4154" w:rsidRPr="00DC1027" w:rsidRDefault="00BA4154" w:rsidP="00BA4154">
            <w:pPr>
              <w:spacing w:line="280" w:lineRule="exac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3469" w:type="dxa"/>
          </w:tcPr>
          <w:p w14:paraId="0ED513D8" w14:textId="63D1763F" w:rsidR="00BA4154" w:rsidRPr="00DC1027" w:rsidRDefault="00BA4154" w:rsidP="00BA4154">
            <w:pPr>
              <w:tabs>
                <w:tab w:val="left" w:pos="142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Блоруснефть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-Нефтехимпроект»</w:t>
            </w:r>
          </w:p>
        </w:tc>
      </w:tr>
      <w:bookmarkEnd w:id="0"/>
    </w:tbl>
    <w:p w14:paraId="2A382DAD" w14:textId="77777777" w:rsidR="006159FD" w:rsidRPr="00DC1027" w:rsidRDefault="006159FD" w:rsidP="00DC1027">
      <w:pPr>
        <w:tabs>
          <w:tab w:val="left" w:pos="142"/>
        </w:tabs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sectPr w:rsidR="006159FD" w:rsidRPr="00DC1027" w:rsidSect="0083035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3DCF" w14:textId="77777777" w:rsidR="001D1142" w:rsidRDefault="001D1142" w:rsidP="00117EEF">
      <w:r>
        <w:separator/>
      </w:r>
    </w:p>
  </w:endnote>
  <w:endnote w:type="continuationSeparator" w:id="0">
    <w:p w14:paraId="633A5EBD" w14:textId="77777777" w:rsidR="001D1142" w:rsidRDefault="001D1142" w:rsidP="001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A8DD" w14:textId="77777777" w:rsidR="001D1142" w:rsidRDefault="001D1142" w:rsidP="00117EEF">
      <w:r>
        <w:separator/>
      </w:r>
    </w:p>
  </w:footnote>
  <w:footnote w:type="continuationSeparator" w:id="0">
    <w:p w14:paraId="24B470B3" w14:textId="77777777" w:rsidR="001D1142" w:rsidRDefault="001D1142" w:rsidP="0011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760430"/>
      <w:docPartObj>
        <w:docPartGallery w:val="Page Numbers (Top of Page)"/>
        <w:docPartUnique/>
      </w:docPartObj>
    </w:sdtPr>
    <w:sdtEndPr/>
    <w:sdtContent>
      <w:p w14:paraId="5367EFBF" w14:textId="2DB39602" w:rsidR="00117EEF" w:rsidRDefault="00117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83F8A0" w14:textId="77777777" w:rsidR="00117EEF" w:rsidRDefault="00117E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510"/>
    <w:multiLevelType w:val="multilevel"/>
    <w:tmpl w:val="385EC0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D2C99"/>
    <w:multiLevelType w:val="multilevel"/>
    <w:tmpl w:val="8CA079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D28EB"/>
    <w:multiLevelType w:val="multilevel"/>
    <w:tmpl w:val="ECFC1B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A5D08"/>
    <w:multiLevelType w:val="multilevel"/>
    <w:tmpl w:val="A2B80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27659"/>
    <w:multiLevelType w:val="multilevel"/>
    <w:tmpl w:val="1FDA56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A0D48"/>
    <w:multiLevelType w:val="multilevel"/>
    <w:tmpl w:val="5130F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392253"/>
    <w:multiLevelType w:val="multilevel"/>
    <w:tmpl w:val="EA181E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3B2918"/>
    <w:multiLevelType w:val="multilevel"/>
    <w:tmpl w:val="8CA079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6272A9"/>
    <w:multiLevelType w:val="multilevel"/>
    <w:tmpl w:val="0B5AD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5A260D"/>
    <w:multiLevelType w:val="multilevel"/>
    <w:tmpl w:val="07DA9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2E2F69"/>
    <w:multiLevelType w:val="multilevel"/>
    <w:tmpl w:val="3886B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B52B2F"/>
    <w:multiLevelType w:val="multilevel"/>
    <w:tmpl w:val="C2A856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661B18"/>
    <w:multiLevelType w:val="multilevel"/>
    <w:tmpl w:val="53347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F362B6"/>
    <w:multiLevelType w:val="multilevel"/>
    <w:tmpl w:val="C2A856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BD39A8"/>
    <w:multiLevelType w:val="multilevel"/>
    <w:tmpl w:val="4D32F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814B11"/>
    <w:multiLevelType w:val="multilevel"/>
    <w:tmpl w:val="3788C29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304BDF"/>
    <w:multiLevelType w:val="multilevel"/>
    <w:tmpl w:val="1FDA56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1D7714"/>
    <w:multiLevelType w:val="multilevel"/>
    <w:tmpl w:val="2528B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5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14"/>
  </w:num>
  <w:num w:numId="15">
    <w:abstractNumId w:val="11"/>
  </w:num>
  <w:num w:numId="16">
    <w:abstractNumId w:val="13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D"/>
    <w:rsid w:val="0000532E"/>
    <w:rsid w:val="00034DE9"/>
    <w:rsid w:val="00037728"/>
    <w:rsid w:val="00117EEF"/>
    <w:rsid w:val="00130855"/>
    <w:rsid w:val="001413BA"/>
    <w:rsid w:val="00176129"/>
    <w:rsid w:val="001D1142"/>
    <w:rsid w:val="001F61E0"/>
    <w:rsid w:val="00246D90"/>
    <w:rsid w:val="0026450B"/>
    <w:rsid w:val="0031574A"/>
    <w:rsid w:val="003C1430"/>
    <w:rsid w:val="003D2B6D"/>
    <w:rsid w:val="00421DC3"/>
    <w:rsid w:val="004401BF"/>
    <w:rsid w:val="004A761B"/>
    <w:rsid w:val="004E0E0A"/>
    <w:rsid w:val="004E5549"/>
    <w:rsid w:val="004F47CC"/>
    <w:rsid w:val="00595F56"/>
    <w:rsid w:val="005B07F2"/>
    <w:rsid w:val="00610BD1"/>
    <w:rsid w:val="006159FD"/>
    <w:rsid w:val="006863A7"/>
    <w:rsid w:val="00734170"/>
    <w:rsid w:val="00762D41"/>
    <w:rsid w:val="007E3773"/>
    <w:rsid w:val="007F178B"/>
    <w:rsid w:val="007F4520"/>
    <w:rsid w:val="00830353"/>
    <w:rsid w:val="008436E5"/>
    <w:rsid w:val="008C7748"/>
    <w:rsid w:val="009A21D8"/>
    <w:rsid w:val="009B4B44"/>
    <w:rsid w:val="009C7844"/>
    <w:rsid w:val="009E1B35"/>
    <w:rsid w:val="00A33BA5"/>
    <w:rsid w:val="00A40E8F"/>
    <w:rsid w:val="00B307B8"/>
    <w:rsid w:val="00BA4154"/>
    <w:rsid w:val="00C06E4C"/>
    <w:rsid w:val="00C37211"/>
    <w:rsid w:val="00C544A7"/>
    <w:rsid w:val="00C876BC"/>
    <w:rsid w:val="00D72821"/>
    <w:rsid w:val="00D811C3"/>
    <w:rsid w:val="00DC1027"/>
    <w:rsid w:val="00DE0A28"/>
    <w:rsid w:val="00E22B50"/>
    <w:rsid w:val="00F6359B"/>
    <w:rsid w:val="00F70EEB"/>
    <w:rsid w:val="00FF2F8A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AAFE"/>
  <w15:chartTrackingRefBased/>
  <w15:docId w15:val="{E5F5E8C7-7958-4C65-9910-42390F5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7F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B07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7F2"/>
    <w:pPr>
      <w:widowControl w:val="0"/>
      <w:shd w:val="clear" w:color="auto" w:fill="FFFFFF"/>
      <w:spacing w:before="540" w:after="120" w:line="0" w:lineRule="atLeast"/>
      <w:ind w:firstLine="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17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7EEF"/>
  </w:style>
  <w:style w:type="paragraph" w:styleId="a7">
    <w:name w:val="footer"/>
    <w:basedOn w:val="a"/>
    <w:link w:val="a8"/>
    <w:uiPriority w:val="99"/>
    <w:unhideWhenUsed/>
    <w:rsid w:val="00117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4239-6D8B-403C-9C48-82063A4C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2024-12-09T06:29:00Z</cp:lastPrinted>
  <dcterms:created xsi:type="dcterms:W3CDTF">2024-11-05T13:55:00Z</dcterms:created>
  <dcterms:modified xsi:type="dcterms:W3CDTF">2024-12-13T06:43:00Z</dcterms:modified>
</cp:coreProperties>
</file>