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6d5daf9a34c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800" w:h="17000"/>
      <w:pgMar w:top="400" w:right="600" w:bottom="600" w:left="600" w:header="708" w:footer="708" w:gutter="0"/>
      <w:cols w:space="708"/>
      <w:docGrid w:linePitch="360"/>
    </w:sectPr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180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540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Республики Беларусь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журнала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>Входящие документы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>КОНТРОЛЬ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доставки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 (юр.лицо)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Астраханской  области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110-06-08/8624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Входящий номер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16224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15.10.2024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15.10.2024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информации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/ текст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Резолюция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О.Д.Швецу, А.О.Шваюнову, О.Б.Лавровской, Т.Н.Василючек, А.В.Малиновскому - Организуйте конструктивное взаимодействие. О результатах работы информируйте в установленном порядке. С.В.Шнып - Контроль // Пархамович Р.В. 15.10.2024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А.В.Шило, Е.Б.Раковой // Лавровская О.Б. 15.10.2024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Ю.В.Суходольскому // Василючек Т.Н. 16.10.2024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Е.Б.Раковой // Шило А.В. 16.10.2024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Главное управление экономики и внешнеэкономической деятельности / Ракова Е.Б. (тел. 226-54-23)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Исполнение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13.11.2024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Основной документ / Исходящее письмо в М.pdf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15.10.2024 10:49:59 Марцинкевич Эмма Генриковна (Министерство архитектуры и строительства Республики Беларусь; 01. Управление информации и контроля; Старший инспектор)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Приложение / Приложение Приложени.doc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15.10.2024 10:50:03 Марцинкевич Эмма Генриковна (Министерство архитектуры и строительства Республики Беларусь; 01. Управление информации и контроля; Старший инспектор)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Резолюция / ref_154.docx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15.10.2024 14:02:04 Пархамович Руслан Викторович (Министерство архитектуры и строительства Республики Беларусь; 00. Руководство; Министр архитектуры и строительства Республики Беларусь)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Резолюция / ref_64.docx (А)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Резолюция / ref_209.docx (А)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Резолюция / ref_71.docx (А)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02d7a26cb94e2f" /><Relationship Type="http://schemas.openxmlformats.org/officeDocument/2006/relationships/numbering" Target="/word/numbering.xml" Id="Rbc7e4316279a47f1" /><Relationship Type="http://schemas.openxmlformats.org/officeDocument/2006/relationships/settings" Target="/word/settings.xml" Id="Rdad470dc9a5e4ce4" /></Relationships>
</file>